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3B080">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4209674D">
      <w:pPr>
        <w:keepNext w:val="0"/>
        <w:keepLines w:val="0"/>
        <w:pageBreakBefore w:val="0"/>
        <w:widowControl/>
        <w:kinsoku/>
        <w:wordWrap/>
        <w:overflowPunct/>
        <w:topLinePunct w:val="0"/>
        <w:autoSpaceDE/>
        <w:autoSpaceDN/>
        <w:bidi w:val="0"/>
        <w:adjustRightInd/>
        <w:snapToGrid/>
        <w:spacing w:line="760" w:lineRule="exact"/>
        <w:ind w:left="0" w:right="0" w:rightChars="0"/>
        <w:jc w:val="center"/>
        <w:textAlignment w:val="auto"/>
        <w:outlineLvl w:val="5"/>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成都市温江区疾病预防控制中心</w:t>
      </w:r>
    </w:p>
    <w:p w14:paraId="3B975F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2026年无物业管理小区病媒生物防制药械采购项目</w:t>
      </w:r>
    </w:p>
    <w:p w14:paraId="50F7C1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采购内容</w:t>
      </w:r>
    </w:p>
    <w:p w14:paraId="102B94ED">
      <w:pPr>
        <w:keepNext w:val="0"/>
        <w:keepLines w:val="0"/>
        <w:pageBreakBefore w:val="0"/>
        <w:widowControl/>
        <w:numPr>
          <w:ilvl w:val="0"/>
          <w:numId w:val="0"/>
        </w:numPr>
        <w:kinsoku/>
        <w:wordWrap/>
        <w:overflowPunct/>
        <w:topLinePunct w:val="0"/>
        <w:autoSpaceDE/>
        <w:autoSpaceDN/>
        <w:bidi w:val="0"/>
        <w:adjustRightInd/>
        <w:snapToGrid/>
        <w:spacing w:line="480" w:lineRule="exact"/>
        <w:ind w:left="559" w:leftChars="266" w:right="0" w:rightChars="0" w:firstLine="0" w:firstLineChars="0"/>
        <w:jc w:val="both"/>
        <w:textAlignment w:val="auto"/>
        <w:outlineLvl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lang w:val="en-US" w:eastAsia="zh-CN" w:bidi="ar-SA"/>
        </w:rPr>
        <w:t>一、</w:t>
      </w:r>
      <w:r>
        <w:rPr>
          <w:rFonts w:hint="eastAsia" w:ascii="宋体" w:hAnsi="宋体" w:eastAsia="宋体" w:cs="宋体"/>
          <w:b w:val="0"/>
          <w:bCs w:val="0"/>
          <w:color w:val="auto"/>
          <w:sz w:val="28"/>
          <w:szCs w:val="28"/>
          <w:highlight w:val="none"/>
          <w:lang w:val="en-US" w:eastAsia="zh-CN"/>
        </w:rPr>
        <w:t>项目名称：2026年无物业管理小区病媒生物防制药械采购项目</w:t>
      </w:r>
    </w:p>
    <w:p w14:paraId="07DDC3A0">
      <w:pPr>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lang w:val="en-US" w:eastAsia="zh-CN" w:bidi="ar-SA"/>
        </w:rPr>
        <w:t>二、</w:t>
      </w:r>
      <w:r>
        <w:rPr>
          <w:rFonts w:hint="eastAsia" w:ascii="宋体" w:hAnsi="宋体" w:eastAsia="宋体" w:cs="宋体"/>
          <w:b w:val="0"/>
          <w:bCs w:val="0"/>
          <w:color w:val="auto"/>
          <w:sz w:val="28"/>
          <w:szCs w:val="28"/>
          <w:highlight w:val="none"/>
          <w:lang w:val="en-US" w:eastAsia="zh-CN"/>
        </w:rPr>
        <w:t>采购背景与目标：《成都市卫生健康和爱国卫生运动领导小组（成都市保健委员会）办公室关于开展2026年病媒生物防制工作的通知》，“各区（市）县卫生健康和爱国卫生运动领导小组办公室负责推动开展所辖区域内外环境“蚊、蝇、鼠、蟑螂”孳生场所治理，做好组织协调、宣传发动、技术培训、用药发放和投放情况等工作，对重点行业开展除“四害”消杀工作落实情况进行检查”；</w:t>
      </w:r>
    </w:p>
    <w:p w14:paraId="42BFA45F">
      <w:pPr>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采购需求（实质性要求）：根据年初各镇街上报属地内无物业管理小区数量、面积和年度消杀频次，拟采购灭鼠药剂“溴敌隆类毒饵”520公斤，溴敌隆类蜡块160公斤，陶瓷毒饵盒600个，毒饵盒警示标签1000张，粘鼠板2000个；灭蚊蝇药剂，高效氯氰菊酯悬浮剂300公斤，倍硫磷颗粒剂70公斤，常量喷雾器50台；灭蟑螂药剂乙酰甲胺磷饵剂50公斤。</w:t>
      </w:r>
    </w:p>
    <w:p w14:paraId="14B1702C">
      <w:pPr>
        <w:keepNext w:val="0"/>
        <w:keepLines w:val="0"/>
        <w:pageBreakBefore w:val="0"/>
        <w:widowControl/>
        <w:numPr>
          <w:ilvl w:val="0"/>
          <w:numId w:val="0"/>
        </w:numPr>
        <w:kinsoku/>
        <w:wordWrap/>
        <w:overflowPunct/>
        <w:topLinePunct w:val="0"/>
        <w:autoSpaceDE/>
        <w:autoSpaceDN/>
        <w:bidi w:val="0"/>
        <w:adjustRightInd/>
        <w:snapToGrid/>
        <w:spacing w:line="480" w:lineRule="exact"/>
        <w:ind w:left="559" w:leftChars="266" w:right="0" w:rightChars="0" w:firstLine="0" w:firstLineChars="0"/>
        <w:jc w:val="both"/>
        <w:textAlignment w:val="auto"/>
        <w:outlineLvl w:val="5"/>
        <w:rPr>
          <w:rFonts w:hint="default" w:ascii="宋体" w:hAnsi="宋体" w:eastAsia="宋体" w:cs="宋体"/>
          <w:b w:val="0"/>
          <w:bCs w:val="0"/>
          <w:color w:val="auto"/>
          <w:sz w:val="28"/>
          <w:szCs w:val="28"/>
          <w:highlight w:val="yellow"/>
          <w:lang w:val="en-US" w:eastAsia="zh-CN"/>
        </w:rPr>
      </w:pPr>
      <w:r>
        <w:rPr>
          <w:rFonts w:hint="eastAsia" w:ascii="宋体" w:hAnsi="宋体" w:eastAsia="宋体" w:cs="宋体"/>
          <w:b w:val="0"/>
          <w:bCs w:val="0"/>
          <w:color w:val="auto"/>
          <w:sz w:val="28"/>
          <w:szCs w:val="28"/>
          <w:highlight w:val="none"/>
          <w:lang w:val="en-US" w:eastAsia="zh-CN"/>
        </w:rPr>
        <w:t>四、交货期限：合同签订后另行约定。</w:t>
      </w:r>
    </w:p>
    <w:tbl>
      <w:tblPr>
        <w:tblStyle w:val="10"/>
        <w:tblW w:w="10217"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4988"/>
        <w:gridCol w:w="1418"/>
        <w:gridCol w:w="1595"/>
        <w:gridCol w:w="1093"/>
      </w:tblGrid>
      <w:tr w14:paraId="4F089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tcBorders>
              <w:tl2br w:val="nil"/>
              <w:tr2bl w:val="nil"/>
            </w:tcBorders>
            <w:noWrap/>
            <w:vAlign w:val="center"/>
          </w:tcPr>
          <w:p w14:paraId="36F6A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项目类别</w:t>
            </w:r>
          </w:p>
        </w:tc>
        <w:tc>
          <w:tcPr>
            <w:tcW w:w="4988" w:type="dxa"/>
            <w:tcBorders>
              <w:tl2br w:val="nil"/>
              <w:tr2bl w:val="nil"/>
            </w:tcBorders>
            <w:noWrap/>
            <w:vAlign w:val="center"/>
          </w:tcPr>
          <w:p w14:paraId="2943E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药械技术要求（实质性要求）</w:t>
            </w:r>
          </w:p>
        </w:tc>
        <w:tc>
          <w:tcPr>
            <w:tcW w:w="1418" w:type="dxa"/>
            <w:tcBorders>
              <w:tl2br w:val="nil"/>
              <w:tr2bl w:val="nil"/>
            </w:tcBorders>
            <w:noWrap/>
            <w:vAlign w:val="center"/>
          </w:tcPr>
          <w:p w14:paraId="7D434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95" w:type="dxa"/>
            <w:tcBorders>
              <w:tl2br w:val="nil"/>
              <w:tr2bl w:val="nil"/>
            </w:tcBorders>
            <w:noWrap/>
            <w:vAlign w:val="center"/>
          </w:tcPr>
          <w:p w14:paraId="74F28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93" w:type="dxa"/>
            <w:tcBorders>
              <w:tl2br w:val="nil"/>
              <w:tr2bl w:val="nil"/>
            </w:tcBorders>
            <w:noWrap/>
            <w:vAlign w:val="center"/>
          </w:tcPr>
          <w:p w14:paraId="0646E8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4012F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vMerge w:val="restart"/>
            <w:tcBorders>
              <w:tl2br w:val="nil"/>
              <w:tr2bl w:val="nil"/>
            </w:tcBorders>
            <w:noWrap/>
            <w:vAlign w:val="center"/>
          </w:tcPr>
          <w:p w14:paraId="4883B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灭鼠</w:t>
            </w:r>
          </w:p>
        </w:tc>
        <w:tc>
          <w:tcPr>
            <w:tcW w:w="4988" w:type="dxa"/>
            <w:tcBorders>
              <w:tl2br w:val="nil"/>
              <w:tr2bl w:val="nil"/>
            </w:tcBorders>
            <w:noWrap w:val="0"/>
            <w:vAlign w:val="center"/>
          </w:tcPr>
          <w:p w14:paraId="5D9165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1.溴敌隆类毒饵(非全谷类)，溴敌隆含量≥0.005%</w:t>
            </w:r>
          </w:p>
        </w:tc>
        <w:tc>
          <w:tcPr>
            <w:tcW w:w="1418" w:type="dxa"/>
            <w:tcBorders>
              <w:tl2br w:val="nil"/>
              <w:tr2bl w:val="nil"/>
            </w:tcBorders>
            <w:noWrap w:val="0"/>
            <w:vAlign w:val="center"/>
          </w:tcPr>
          <w:p w14:paraId="2DE5A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95" w:type="dxa"/>
            <w:tcBorders>
              <w:tl2br w:val="nil"/>
              <w:tr2bl w:val="nil"/>
            </w:tcBorders>
            <w:noWrap/>
            <w:vAlign w:val="center"/>
          </w:tcPr>
          <w:p w14:paraId="42A56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093" w:type="dxa"/>
            <w:tcBorders>
              <w:tl2br w:val="nil"/>
              <w:tr2bl w:val="nil"/>
            </w:tcBorders>
            <w:noWrap/>
            <w:vAlign w:val="center"/>
          </w:tcPr>
          <w:p w14:paraId="775A66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51B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vMerge w:val="continue"/>
            <w:tcBorders>
              <w:tl2br w:val="nil"/>
              <w:tr2bl w:val="nil"/>
            </w:tcBorders>
            <w:noWrap/>
            <w:vAlign w:val="center"/>
          </w:tcPr>
          <w:p w14:paraId="2290C771">
            <w:pPr>
              <w:jc w:val="center"/>
              <w:rPr>
                <w:rFonts w:hint="eastAsia" w:ascii="宋体" w:hAnsi="宋体" w:eastAsia="宋体" w:cs="宋体"/>
                <w:i w:val="0"/>
                <w:iCs w:val="0"/>
                <w:color w:val="000000"/>
                <w:sz w:val="24"/>
                <w:szCs w:val="24"/>
                <w:u w:val="none"/>
              </w:rPr>
            </w:pPr>
          </w:p>
        </w:tc>
        <w:tc>
          <w:tcPr>
            <w:tcW w:w="4988" w:type="dxa"/>
            <w:tcBorders>
              <w:tl2br w:val="nil"/>
              <w:tr2bl w:val="nil"/>
            </w:tcBorders>
            <w:noWrap w:val="0"/>
            <w:vAlign w:val="center"/>
          </w:tcPr>
          <w:p w14:paraId="0EBDC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2.溴敌隆类蜡块，溴敌隆含量≥0.005%</w:t>
            </w:r>
          </w:p>
        </w:tc>
        <w:tc>
          <w:tcPr>
            <w:tcW w:w="1418" w:type="dxa"/>
            <w:tcBorders>
              <w:tl2br w:val="nil"/>
              <w:tr2bl w:val="nil"/>
            </w:tcBorders>
            <w:noWrap w:val="0"/>
            <w:vAlign w:val="center"/>
          </w:tcPr>
          <w:p w14:paraId="6115E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95" w:type="dxa"/>
            <w:tcBorders>
              <w:tl2br w:val="nil"/>
              <w:tr2bl w:val="nil"/>
            </w:tcBorders>
            <w:noWrap/>
            <w:vAlign w:val="center"/>
          </w:tcPr>
          <w:p w14:paraId="5700F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093" w:type="dxa"/>
            <w:tcBorders>
              <w:tl2br w:val="nil"/>
              <w:tr2bl w:val="nil"/>
            </w:tcBorders>
            <w:noWrap/>
            <w:vAlign w:val="center"/>
          </w:tcPr>
          <w:p w14:paraId="65ED4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BB5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vMerge w:val="continue"/>
            <w:tcBorders>
              <w:tl2br w:val="nil"/>
              <w:tr2bl w:val="nil"/>
            </w:tcBorders>
            <w:noWrap/>
            <w:vAlign w:val="center"/>
          </w:tcPr>
          <w:p w14:paraId="4C389757">
            <w:pPr>
              <w:jc w:val="center"/>
              <w:rPr>
                <w:rFonts w:hint="eastAsia" w:ascii="宋体" w:hAnsi="宋体" w:eastAsia="宋体" w:cs="宋体"/>
                <w:i w:val="0"/>
                <w:iCs w:val="0"/>
                <w:color w:val="000000"/>
                <w:sz w:val="24"/>
                <w:szCs w:val="24"/>
                <w:u w:val="none"/>
              </w:rPr>
            </w:pPr>
          </w:p>
        </w:tc>
        <w:tc>
          <w:tcPr>
            <w:tcW w:w="4988" w:type="dxa"/>
            <w:tcBorders>
              <w:tl2br w:val="nil"/>
              <w:tr2bl w:val="nil"/>
            </w:tcBorders>
            <w:noWrap w:val="0"/>
            <w:vAlign w:val="center"/>
          </w:tcPr>
          <w:p w14:paraId="7C703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3.陶瓷毒饵盒</w:t>
            </w:r>
          </w:p>
        </w:tc>
        <w:tc>
          <w:tcPr>
            <w:tcW w:w="1418" w:type="dxa"/>
            <w:tcBorders>
              <w:tl2br w:val="nil"/>
              <w:tr2bl w:val="nil"/>
            </w:tcBorders>
            <w:noWrap w:val="0"/>
            <w:vAlign w:val="center"/>
          </w:tcPr>
          <w:p w14:paraId="26CE0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95" w:type="dxa"/>
            <w:tcBorders>
              <w:tl2br w:val="nil"/>
              <w:tr2bl w:val="nil"/>
            </w:tcBorders>
            <w:noWrap/>
            <w:vAlign w:val="center"/>
          </w:tcPr>
          <w:p w14:paraId="35E5C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093" w:type="dxa"/>
            <w:tcBorders>
              <w:tl2br w:val="nil"/>
              <w:tr2bl w:val="nil"/>
            </w:tcBorders>
            <w:noWrap/>
            <w:vAlign w:val="center"/>
          </w:tcPr>
          <w:p w14:paraId="67FCB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F6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vMerge w:val="continue"/>
            <w:tcBorders>
              <w:tl2br w:val="nil"/>
              <w:tr2bl w:val="nil"/>
            </w:tcBorders>
            <w:noWrap/>
            <w:vAlign w:val="center"/>
          </w:tcPr>
          <w:p w14:paraId="4E74F950">
            <w:pPr>
              <w:jc w:val="center"/>
              <w:rPr>
                <w:rFonts w:hint="eastAsia" w:ascii="宋体" w:hAnsi="宋体" w:eastAsia="宋体" w:cs="宋体"/>
                <w:i w:val="0"/>
                <w:iCs w:val="0"/>
                <w:color w:val="000000"/>
                <w:sz w:val="24"/>
                <w:szCs w:val="24"/>
                <w:u w:val="none"/>
              </w:rPr>
            </w:pPr>
          </w:p>
        </w:tc>
        <w:tc>
          <w:tcPr>
            <w:tcW w:w="4988" w:type="dxa"/>
            <w:tcBorders>
              <w:tl2br w:val="nil"/>
              <w:tr2bl w:val="nil"/>
            </w:tcBorders>
            <w:noWrap w:val="0"/>
            <w:vAlign w:val="center"/>
          </w:tcPr>
          <w:p w14:paraId="767287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4.毒饵盒警示标签</w:t>
            </w:r>
          </w:p>
        </w:tc>
        <w:tc>
          <w:tcPr>
            <w:tcW w:w="1418" w:type="dxa"/>
            <w:tcBorders>
              <w:tl2br w:val="nil"/>
              <w:tr2bl w:val="nil"/>
            </w:tcBorders>
            <w:noWrap w:val="0"/>
            <w:vAlign w:val="center"/>
          </w:tcPr>
          <w:p w14:paraId="495D7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595" w:type="dxa"/>
            <w:tcBorders>
              <w:tl2br w:val="nil"/>
              <w:tr2bl w:val="nil"/>
            </w:tcBorders>
            <w:noWrap/>
            <w:vAlign w:val="center"/>
          </w:tcPr>
          <w:p w14:paraId="55F788D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1000</w:t>
            </w:r>
          </w:p>
        </w:tc>
        <w:tc>
          <w:tcPr>
            <w:tcW w:w="1093" w:type="dxa"/>
            <w:tcBorders>
              <w:tl2br w:val="nil"/>
              <w:tr2bl w:val="nil"/>
            </w:tcBorders>
            <w:noWrap/>
            <w:vAlign w:val="center"/>
          </w:tcPr>
          <w:p w14:paraId="37BBA0C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r>
      <w:tr w14:paraId="75D9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vMerge w:val="continue"/>
            <w:tcBorders>
              <w:tl2br w:val="nil"/>
              <w:tr2bl w:val="nil"/>
            </w:tcBorders>
            <w:noWrap/>
            <w:vAlign w:val="center"/>
          </w:tcPr>
          <w:p w14:paraId="45F3942F">
            <w:pPr>
              <w:jc w:val="center"/>
              <w:rPr>
                <w:rFonts w:hint="eastAsia" w:ascii="宋体" w:hAnsi="宋体" w:eastAsia="宋体" w:cs="宋体"/>
                <w:i w:val="0"/>
                <w:iCs w:val="0"/>
                <w:color w:val="000000"/>
                <w:sz w:val="24"/>
                <w:szCs w:val="24"/>
                <w:u w:val="none"/>
              </w:rPr>
            </w:pPr>
          </w:p>
        </w:tc>
        <w:tc>
          <w:tcPr>
            <w:tcW w:w="4988" w:type="dxa"/>
            <w:tcBorders>
              <w:tl2br w:val="nil"/>
              <w:tr2bl w:val="nil"/>
            </w:tcBorders>
            <w:noWrap w:val="0"/>
            <w:vAlign w:val="center"/>
          </w:tcPr>
          <w:p w14:paraId="30645839">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5.粘鼠板</w:t>
            </w:r>
          </w:p>
        </w:tc>
        <w:tc>
          <w:tcPr>
            <w:tcW w:w="1418" w:type="dxa"/>
            <w:tcBorders>
              <w:tl2br w:val="nil"/>
              <w:tr2bl w:val="nil"/>
            </w:tcBorders>
            <w:noWrap w:val="0"/>
            <w:vAlign w:val="center"/>
          </w:tcPr>
          <w:p w14:paraId="7AA9C9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595" w:type="dxa"/>
            <w:tcBorders>
              <w:tl2br w:val="nil"/>
              <w:tr2bl w:val="nil"/>
            </w:tcBorders>
            <w:noWrap/>
            <w:vAlign w:val="center"/>
          </w:tcPr>
          <w:p w14:paraId="2883C61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2000</w:t>
            </w:r>
          </w:p>
        </w:tc>
        <w:tc>
          <w:tcPr>
            <w:tcW w:w="1093" w:type="dxa"/>
            <w:tcBorders>
              <w:tl2br w:val="nil"/>
              <w:tr2bl w:val="nil"/>
            </w:tcBorders>
            <w:noWrap/>
            <w:vAlign w:val="center"/>
          </w:tcPr>
          <w:p w14:paraId="614CD2F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r>
      <w:tr w14:paraId="51C7D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vMerge w:val="restart"/>
            <w:tcBorders>
              <w:tl2br w:val="nil"/>
              <w:tr2bl w:val="nil"/>
            </w:tcBorders>
            <w:noWrap/>
            <w:vAlign w:val="center"/>
          </w:tcPr>
          <w:p w14:paraId="72116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灭蚊蝇</w:t>
            </w:r>
          </w:p>
        </w:tc>
        <w:tc>
          <w:tcPr>
            <w:tcW w:w="4988" w:type="dxa"/>
            <w:tcBorders>
              <w:tl2br w:val="nil"/>
              <w:tr2bl w:val="nil"/>
            </w:tcBorders>
            <w:noWrap w:val="0"/>
            <w:vAlign w:val="center"/>
          </w:tcPr>
          <w:p w14:paraId="675BC7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1.高效氯氰菊酯悬浮剂，含量≥4.5%</w:t>
            </w:r>
          </w:p>
        </w:tc>
        <w:tc>
          <w:tcPr>
            <w:tcW w:w="1418" w:type="dxa"/>
            <w:tcBorders>
              <w:tl2br w:val="nil"/>
              <w:tr2bl w:val="nil"/>
            </w:tcBorders>
            <w:noWrap w:val="0"/>
            <w:vAlign w:val="center"/>
          </w:tcPr>
          <w:p w14:paraId="78071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95" w:type="dxa"/>
            <w:tcBorders>
              <w:tl2br w:val="nil"/>
              <w:tr2bl w:val="nil"/>
            </w:tcBorders>
            <w:noWrap/>
            <w:vAlign w:val="center"/>
          </w:tcPr>
          <w:p w14:paraId="5C2BA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93" w:type="dxa"/>
            <w:tcBorders>
              <w:tl2br w:val="nil"/>
              <w:tr2bl w:val="nil"/>
            </w:tcBorders>
            <w:noWrap/>
            <w:vAlign w:val="center"/>
          </w:tcPr>
          <w:p w14:paraId="2A518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D7B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vMerge w:val="continue"/>
            <w:tcBorders>
              <w:tl2br w:val="nil"/>
              <w:tr2bl w:val="nil"/>
            </w:tcBorders>
            <w:noWrap/>
            <w:vAlign w:val="center"/>
          </w:tcPr>
          <w:p w14:paraId="4208EC9D">
            <w:pPr>
              <w:jc w:val="center"/>
              <w:rPr>
                <w:rFonts w:hint="eastAsia" w:ascii="宋体" w:hAnsi="宋体" w:eastAsia="宋体" w:cs="宋体"/>
                <w:i w:val="0"/>
                <w:iCs w:val="0"/>
                <w:color w:val="000000"/>
                <w:sz w:val="24"/>
                <w:szCs w:val="24"/>
                <w:u w:val="none"/>
              </w:rPr>
            </w:pPr>
          </w:p>
        </w:tc>
        <w:tc>
          <w:tcPr>
            <w:tcW w:w="4988" w:type="dxa"/>
            <w:tcBorders>
              <w:tl2br w:val="nil"/>
              <w:tr2bl w:val="nil"/>
            </w:tcBorders>
            <w:noWrap/>
            <w:vAlign w:val="center"/>
          </w:tcPr>
          <w:p w14:paraId="4FA1D9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2.倍硫磷杀虫颗粒剂</w:t>
            </w:r>
          </w:p>
        </w:tc>
        <w:tc>
          <w:tcPr>
            <w:tcW w:w="1418" w:type="dxa"/>
            <w:tcBorders>
              <w:tl2br w:val="nil"/>
              <w:tr2bl w:val="nil"/>
            </w:tcBorders>
            <w:noWrap/>
            <w:vAlign w:val="center"/>
          </w:tcPr>
          <w:p w14:paraId="04863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595" w:type="dxa"/>
            <w:tcBorders>
              <w:tl2br w:val="nil"/>
              <w:tr2bl w:val="nil"/>
            </w:tcBorders>
            <w:noWrap/>
            <w:vAlign w:val="center"/>
          </w:tcPr>
          <w:p w14:paraId="145AF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93" w:type="dxa"/>
            <w:tcBorders>
              <w:tl2br w:val="nil"/>
              <w:tr2bl w:val="nil"/>
            </w:tcBorders>
            <w:noWrap/>
            <w:vAlign w:val="center"/>
          </w:tcPr>
          <w:p w14:paraId="2A89E9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A5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vMerge w:val="continue"/>
            <w:tcBorders>
              <w:tl2br w:val="nil"/>
              <w:tr2bl w:val="nil"/>
            </w:tcBorders>
            <w:noWrap/>
            <w:vAlign w:val="center"/>
          </w:tcPr>
          <w:p w14:paraId="1FAE8D2F">
            <w:pPr>
              <w:jc w:val="center"/>
              <w:rPr>
                <w:rFonts w:hint="eastAsia" w:ascii="宋体" w:hAnsi="宋体" w:eastAsia="宋体" w:cs="宋体"/>
                <w:i w:val="0"/>
                <w:iCs w:val="0"/>
                <w:color w:val="000000"/>
                <w:sz w:val="24"/>
                <w:szCs w:val="24"/>
                <w:u w:val="none"/>
              </w:rPr>
            </w:pPr>
          </w:p>
        </w:tc>
        <w:tc>
          <w:tcPr>
            <w:tcW w:w="4988" w:type="dxa"/>
            <w:tcBorders>
              <w:tl2br w:val="nil"/>
              <w:tr2bl w:val="nil"/>
            </w:tcBorders>
            <w:noWrap/>
            <w:vAlign w:val="center"/>
          </w:tcPr>
          <w:p w14:paraId="34B58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3.常量喷雾器</w:t>
            </w:r>
          </w:p>
        </w:tc>
        <w:tc>
          <w:tcPr>
            <w:tcW w:w="1418" w:type="dxa"/>
            <w:tcBorders>
              <w:tl2br w:val="nil"/>
              <w:tr2bl w:val="nil"/>
            </w:tcBorders>
            <w:noWrap/>
            <w:vAlign w:val="center"/>
          </w:tcPr>
          <w:p w14:paraId="615B6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595" w:type="dxa"/>
            <w:tcBorders>
              <w:tl2br w:val="nil"/>
              <w:tr2bl w:val="nil"/>
            </w:tcBorders>
            <w:noWrap/>
            <w:vAlign w:val="center"/>
          </w:tcPr>
          <w:p w14:paraId="3AD72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93" w:type="dxa"/>
            <w:tcBorders>
              <w:tl2br w:val="nil"/>
              <w:tr2bl w:val="nil"/>
            </w:tcBorders>
            <w:noWrap/>
            <w:vAlign w:val="center"/>
          </w:tcPr>
          <w:p w14:paraId="3209FD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1D7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23" w:type="dxa"/>
            <w:tcBorders>
              <w:tl2br w:val="nil"/>
              <w:tr2bl w:val="nil"/>
            </w:tcBorders>
            <w:noWrap/>
            <w:vAlign w:val="center"/>
          </w:tcPr>
          <w:p w14:paraId="1780E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灭蟑螂</w:t>
            </w:r>
          </w:p>
        </w:tc>
        <w:tc>
          <w:tcPr>
            <w:tcW w:w="4988" w:type="dxa"/>
            <w:tcBorders>
              <w:tl2br w:val="nil"/>
              <w:tr2bl w:val="nil"/>
            </w:tcBorders>
            <w:noWrap w:val="0"/>
            <w:vAlign w:val="center"/>
          </w:tcPr>
          <w:p w14:paraId="3E5F8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1.乙酰甲胺磷饵剂</w:t>
            </w:r>
          </w:p>
        </w:tc>
        <w:tc>
          <w:tcPr>
            <w:tcW w:w="1418" w:type="dxa"/>
            <w:tcBorders>
              <w:tl2br w:val="nil"/>
              <w:tr2bl w:val="nil"/>
            </w:tcBorders>
            <w:noWrap w:val="0"/>
            <w:vAlign w:val="center"/>
          </w:tcPr>
          <w:p w14:paraId="119C02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公斤</w:t>
            </w:r>
          </w:p>
        </w:tc>
        <w:tc>
          <w:tcPr>
            <w:tcW w:w="1595" w:type="dxa"/>
            <w:tcBorders>
              <w:tl2br w:val="nil"/>
              <w:tr2bl w:val="nil"/>
            </w:tcBorders>
            <w:noWrap/>
            <w:vAlign w:val="center"/>
          </w:tcPr>
          <w:p w14:paraId="7432FA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c>
          <w:tcPr>
            <w:tcW w:w="1093" w:type="dxa"/>
            <w:tcBorders>
              <w:tl2br w:val="nil"/>
              <w:tr2bl w:val="nil"/>
            </w:tcBorders>
            <w:noWrap/>
            <w:vAlign w:val="center"/>
          </w:tcPr>
          <w:p w14:paraId="757931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FC81B0B">
      <w:pPr>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560" w:firstLineChars="200"/>
        <w:jc w:val="both"/>
        <w:textAlignment w:val="auto"/>
        <w:outlineLvl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报价文件：文件中实质性要求不得负偏离，如负偏离则报价文件无效；报价文件需用中文编制，A4纸印制装订，1套正本，每页需加盖参选人公章，未按照报价文件资料要求内容提交的文件作无效文件处理。</w:t>
      </w:r>
    </w:p>
    <w:p w14:paraId="4AF5B412">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附件2</w:t>
      </w:r>
    </w:p>
    <w:p w14:paraId="587F6A03">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评审办法和标准</w:t>
      </w:r>
    </w:p>
    <w:p w14:paraId="09B2595F">
      <w:pPr>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一、总则</w:t>
      </w:r>
    </w:p>
    <w:p w14:paraId="3FEC14ED">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1.1本次评审活动遵循公平、公正、科学、择优的原则。</w:t>
      </w:r>
    </w:p>
    <w:p w14:paraId="233F8119">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cstheme="minorEastAsia"/>
          <w:color w:val="auto"/>
          <w:szCs w:val="21"/>
          <w:highlight w:val="none"/>
          <w:lang w:val="en-US" w:eastAsia="zh-CN"/>
        </w:rPr>
        <w:t>比选人</w:t>
      </w:r>
      <w:r>
        <w:rPr>
          <w:rFonts w:hint="eastAsia" w:asciiTheme="minorEastAsia" w:hAnsiTheme="minorEastAsia" w:eastAsiaTheme="minorEastAsia" w:cstheme="minorEastAsia"/>
          <w:color w:val="auto"/>
          <w:szCs w:val="21"/>
          <w:highlight w:val="none"/>
        </w:rPr>
        <w:t>将在</w:t>
      </w:r>
      <w:r>
        <w:rPr>
          <w:rFonts w:hint="eastAsia" w:asciiTheme="minorEastAsia" w:hAnsiTheme="minorEastAsia" w:cstheme="minorEastAsia"/>
          <w:color w:val="auto"/>
          <w:szCs w:val="21"/>
          <w:highlight w:val="none"/>
          <w:lang w:val="en-US" w:eastAsia="zh-CN"/>
        </w:rPr>
        <w:t>报价</w:t>
      </w:r>
      <w:r>
        <w:rPr>
          <w:rFonts w:hint="eastAsia" w:asciiTheme="minorEastAsia" w:hAnsiTheme="minorEastAsia" w:eastAsiaTheme="minorEastAsia" w:cstheme="minorEastAsia"/>
          <w:color w:val="auto"/>
          <w:szCs w:val="21"/>
          <w:highlight w:val="none"/>
          <w:lang w:eastAsia="zh-CN"/>
        </w:rPr>
        <w:t>文件</w:t>
      </w:r>
      <w:r>
        <w:rPr>
          <w:rFonts w:hint="eastAsia" w:asciiTheme="minorEastAsia" w:hAnsiTheme="minorEastAsia" w:eastAsiaTheme="minorEastAsia" w:cstheme="minorEastAsia"/>
          <w:color w:val="auto"/>
          <w:szCs w:val="21"/>
          <w:highlight w:val="none"/>
        </w:rPr>
        <w:t>递交截止</w:t>
      </w:r>
      <w:r>
        <w:rPr>
          <w:rFonts w:hint="eastAsia" w:asciiTheme="minorEastAsia" w:hAnsiTheme="minorEastAsia" w:cstheme="minorEastAsia"/>
          <w:color w:val="auto"/>
          <w:szCs w:val="21"/>
          <w:highlight w:val="none"/>
          <w:lang w:val="en-US" w:eastAsia="zh-CN"/>
        </w:rPr>
        <w:t>时间后，将已递交的报价文件</w:t>
      </w:r>
      <w:r>
        <w:rPr>
          <w:rFonts w:hint="eastAsia" w:asciiTheme="minorEastAsia" w:hAnsiTheme="minorEastAsia" w:eastAsiaTheme="minorEastAsia" w:cstheme="minorEastAsia"/>
          <w:color w:val="auto"/>
          <w:szCs w:val="21"/>
          <w:highlight w:val="none"/>
        </w:rPr>
        <w:t>交由</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进行评审。在本文件规定的</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递交截止时间后提交的</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，比选人将拒绝接收。</w:t>
      </w:r>
    </w:p>
    <w:p w14:paraId="7D316B04">
      <w:pPr>
        <w:spacing w:line="360" w:lineRule="auto"/>
        <w:contextualSpacing/>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二、</w:t>
      </w:r>
      <w:r>
        <w:rPr>
          <w:rFonts w:hint="eastAsia" w:asciiTheme="minorEastAsia" w:hAnsiTheme="minorEastAsia" w:cstheme="minorEastAsia"/>
          <w:b/>
          <w:bCs/>
          <w:color w:val="auto"/>
          <w:highlight w:val="none"/>
          <w:lang w:eastAsia="zh-CN"/>
        </w:rPr>
        <w:t>评审小组</w:t>
      </w:r>
    </w:p>
    <w:p w14:paraId="79A0EC24">
      <w:pPr>
        <w:adjustRightInd w:val="0"/>
        <w:spacing w:line="360" w:lineRule="auto"/>
        <w:ind w:firstLine="472" w:firstLineChars="225"/>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2.1本项目的</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由比选人按照相关规定组建。</w:t>
      </w:r>
    </w:p>
    <w:p w14:paraId="18F552F7">
      <w:pPr>
        <w:adjustRightInd w:val="0"/>
        <w:spacing w:line="360" w:lineRule="auto"/>
        <w:ind w:firstLine="472" w:firstLineChars="225"/>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成员应当客观、公正地履行职责，遵守职业道德，对所提出的评审意见承担个人责任。</w:t>
      </w:r>
    </w:p>
    <w:p w14:paraId="7F0FEDF4">
      <w:pPr>
        <w:adjustRightInd w:val="0"/>
        <w:spacing w:line="360" w:lineRule="auto"/>
        <w:ind w:firstLine="472" w:firstLineChars="225"/>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2.3评审程序：资格审查---符合性评审---详细评审---推荐</w:t>
      </w:r>
      <w:r>
        <w:rPr>
          <w:rFonts w:hint="eastAsia" w:asciiTheme="minorEastAsia" w:hAnsiTheme="minorEastAsia" w:eastAsiaTheme="minorEastAsia" w:cstheme="minorEastAsia"/>
          <w:color w:val="auto"/>
          <w:szCs w:val="21"/>
          <w:highlight w:val="none"/>
          <w:lang w:eastAsia="zh-CN"/>
        </w:rPr>
        <w:t>候选人</w:t>
      </w:r>
      <w:r>
        <w:rPr>
          <w:rFonts w:hint="eastAsia" w:asciiTheme="minorEastAsia" w:hAnsiTheme="minorEastAsia" w:eastAsiaTheme="minorEastAsia" w:cstheme="minorEastAsia"/>
          <w:color w:val="auto"/>
          <w:szCs w:val="21"/>
          <w:highlight w:val="none"/>
        </w:rPr>
        <w:t>。</w:t>
      </w:r>
    </w:p>
    <w:p w14:paraId="4C34D2F7">
      <w:pPr>
        <w:adjustRightInd w:val="0"/>
        <w:spacing w:line="360" w:lineRule="auto"/>
        <w:ind w:firstLine="472" w:firstLineChars="225"/>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2.4在评审过程中，凡未通过上一评审程序的</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，不再进入后续评审程序。</w:t>
      </w:r>
    </w:p>
    <w:p w14:paraId="19DD937F">
      <w:pPr>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三、资格审查</w:t>
      </w:r>
    </w:p>
    <w:p w14:paraId="0B994C29">
      <w:pPr>
        <w:adjustRightInd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首先对所有</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进行资格审查，资格审查实行强制性合格条件标准（见下表），凡有一项不合格则不能通过。资格审查未通过的不再进入下步评审。</w:t>
      </w:r>
    </w:p>
    <w:p w14:paraId="0A4A4D12">
      <w:pPr>
        <w:adjustRightInd w:val="0"/>
        <w:spacing w:line="360" w:lineRule="auto"/>
        <w:ind w:right="71" w:rightChars="34"/>
        <w:contextualSpacing/>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资格审查</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8"/>
        <w:gridCol w:w="2693"/>
        <w:gridCol w:w="3686"/>
      </w:tblGrid>
      <w:tr w14:paraId="29C5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2746E82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序号</w:t>
            </w:r>
          </w:p>
        </w:tc>
        <w:tc>
          <w:tcPr>
            <w:tcW w:w="2238" w:type="dxa"/>
            <w:tcBorders>
              <w:top w:val="single" w:color="auto" w:sz="4" w:space="0"/>
              <w:left w:val="single" w:color="auto" w:sz="4" w:space="0"/>
              <w:bottom w:val="single" w:color="auto" w:sz="4" w:space="0"/>
              <w:right w:val="single" w:color="auto" w:sz="4" w:space="0"/>
            </w:tcBorders>
            <w:vAlign w:val="center"/>
          </w:tcPr>
          <w:p w14:paraId="20FBD308">
            <w:pPr>
              <w:adjustRightInd w:val="0"/>
              <w:spacing w:line="276" w:lineRule="auto"/>
              <w:ind w:firstLine="472" w:firstLineChars="225"/>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审查内容</w:t>
            </w:r>
          </w:p>
        </w:tc>
        <w:tc>
          <w:tcPr>
            <w:tcW w:w="2693" w:type="dxa"/>
            <w:tcBorders>
              <w:top w:val="single" w:color="auto" w:sz="4" w:space="0"/>
              <w:left w:val="single" w:color="auto" w:sz="4" w:space="0"/>
              <w:bottom w:val="single" w:color="auto" w:sz="4" w:space="0"/>
              <w:right w:val="single" w:color="auto" w:sz="4" w:space="0"/>
            </w:tcBorders>
            <w:vAlign w:val="center"/>
          </w:tcPr>
          <w:p w14:paraId="5D46054E">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合格条件</w:t>
            </w:r>
          </w:p>
        </w:tc>
        <w:tc>
          <w:tcPr>
            <w:tcW w:w="3686" w:type="dxa"/>
            <w:tcBorders>
              <w:top w:val="single" w:color="auto" w:sz="4" w:space="0"/>
              <w:left w:val="single" w:color="auto" w:sz="4" w:space="0"/>
              <w:bottom w:val="single" w:color="auto" w:sz="4" w:space="0"/>
              <w:right w:val="single" w:color="auto" w:sz="4" w:space="0"/>
            </w:tcBorders>
            <w:vAlign w:val="center"/>
          </w:tcPr>
          <w:p w14:paraId="007A508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备注</w:t>
            </w:r>
          </w:p>
        </w:tc>
      </w:tr>
      <w:tr w14:paraId="22B0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8E05780">
            <w:pPr>
              <w:numPr>
                <w:ilvl w:val="0"/>
                <w:numId w:val="1"/>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4C3628A9">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具有独立承担民事责任的能力</w:t>
            </w:r>
          </w:p>
        </w:tc>
        <w:tc>
          <w:tcPr>
            <w:tcW w:w="2693" w:type="dxa"/>
            <w:tcBorders>
              <w:top w:val="single" w:color="auto" w:sz="4" w:space="0"/>
              <w:left w:val="single" w:color="auto" w:sz="4" w:space="0"/>
              <w:bottom w:val="single" w:color="auto" w:sz="4" w:space="0"/>
              <w:right w:val="single" w:color="auto" w:sz="4" w:space="0"/>
            </w:tcBorders>
            <w:vAlign w:val="center"/>
          </w:tcPr>
          <w:p w14:paraId="145EFAD0">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具有独立承担民事责任的能力</w:t>
            </w:r>
          </w:p>
        </w:tc>
        <w:tc>
          <w:tcPr>
            <w:tcW w:w="3686" w:type="dxa"/>
            <w:tcBorders>
              <w:top w:val="single" w:color="auto" w:sz="4" w:space="0"/>
              <w:left w:val="single" w:color="auto" w:sz="4" w:space="0"/>
              <w:bottom w:val="single" w:color="auto" w:sz="4" w:space="0"/>
              <w:right w:val="single" w:color="auto" w:sz="4" w:space="0"/>
            </w:tcBorders>
            <w:vAlign w:val="center"/>
          </w:tcPr>
          <w:p w14:paraId="10E61278">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注：①</w:t>
            </w:r>
            <w:r>
              <w:rPr>
                <w:rFonts w:hint="eastAsia" w:asciiTheme="minorEastAsia" w:hAnsiTheme="minorEastAsia" w:eastAsiaTheme="minorEastAsia" w:cstheme="minorEastAsia"/>
                <w:bCs/>
                <w:color w:val="auto"/>
                <w:szCs w:val="21"/>
                <w:highlight w:val="none"/>
                <w:lang w:eastAsia="zh-CN"/>
              </w:rPr>
              <w:t>参选人</w:t>
            </w:r>
            <w:r>
              <w:rPr>
                <w:rFonts w:hint="eastAsia" w:asciiTheme="minorEastAsia" w:hAnsiTheme="minorEastAsia" w:eastAsiaTheme="minorEastAsia" w:cstheme="minorEastAsia"/>
                <w:bCs/>
                <w:color w:val="auto"/>
                <w:szCs w:val="21"/>
                <w:highlight w:val="none"/>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w:t>
            </w:r>
            <w:r>
              <w:rPr>
                <w:rFonts w:hint="eastAsia" w:asciiTheme="minorEastAsia" w:hAnsiTheme="minorEastAsia" w:eastAsiaTheme="minorEastAsia" w:cstheme="minorEastAsia"/>
                <w:bCs/>
                <w:color w:val="auto"/>
                <w:szCs w:val="21"/>
                <w:highlight w:val="none"/>
                <w:lang w:eastAsia="zh-CN"/>
              </w:rPr>
              <w:t>资料</w:t>
            </w:r>
            <w:r>
              <w:rPr>
                <w:rFonts w:hint="eastAsia" w:asciiTheme="minorEastAsia" w:hAnsiTheme="minorEastAsia" w:eastAsiaTheme="minorEastAsia" w:cstheme="minorEastAsia"/>
                <w:bCs/>
                <w:color w:val="auto"/>
                <w:szCs w:val="21"/>
                <w:highlight w:val="none"/>
              </w:rPr>
              <w:t>”。以上均提供复印件</w:t>
            </w:r>
          </w:p>
        </w:tc>
      </w:tr>
      <w:tr w14:paraId="0D9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A7C1823">
            <w:pPr>
              <w:numPr>
                <w:ilvl w:val="0"/>
                <w:numId w:val="1"/>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7167B93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商业信誉和财务会计制度</w:t>
            </w:r>
          </w:p>
        </w:tc>
        <w:tc>
          <w:tcPr>
            <w:tcW w:w="2693" w:type="dxa"/>
            <w:tcBorders>
              <w:top w:val="single" w:color="auto" w:sz="4" w:space="0"/>
              <w:left w:val="single" w:color="auto" w:sz="4" w:space="0"/>
              <w:bottom w:val="single" w:color="auto" w:sz="4" w:space="0"/>
              <w:right w:val="single" w:color="auto" w:sz="4" w:space="0"/>
            </w:tcBorders>
            <w:vAlign w:val="center"/>
          </w:tcPr>
          <w:p w14:paraId="5923DA89">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具有良好的商业信誉和健全的财务会计制度</w:t>
            </w:r>
          </w:p>
        </w:tc>
        <w:tc>
          <w:tcPr>
            <w:tcW w:w="3686" w:type="dxa"/>
            <w:tcBorders>
              <w:top w:val="single" w:color="auto" w:sz="4" w:space="0"/>
              <w:left w:val="single" w:color="auto" w:sz="4" w:space="0"/>
              <w:right w:val="single" w:color="auto" w:sz="4" w:space="0"/>
            </w:tcBorders>
            <w:vAlign w:val="center"/>
          </w:tcPr>
          <w:p w14:paraId="2E5FFF5B">
            <w:pPr>
              <w:adjustRightInd w:val="0"/>
              <w:spacing w:line="276" w:lineRule="auto"/>
              <w:contextualSpacing/>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注：①提供202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年度</w:t>
            </w:r>
            <w:r>
              <w:rPr>
                <w:rFonts w:hint="eastAsia" w:asciiTheme="minorEastAsia" w:hAnsiTheme="minorEastAsia" w:cstheme="minorEastAsia"/>
                <w:color w:val="auto"/>
                <w:highlight w:val="none"/>
                <w:lang w:val="en-US" w:eastAsia="zh-CN"/>
              </w:rPr>
              <w:t>或2025年度</w:t>
            </w:r>
            <w:r>
              <w:rPr>
                <w:rFonts w:hint="eastAsia" w:asciiTheme="minorEastAsia" w:hAnsiTheme="minorEastAsia" w:eastAsiaTheme="minorEastAsia" w:cstheme="minorEastAsia"/>
                <w:color w:val="auto"/>
                <w:highlight w:val="none"/>
              </w:rPr>
              <w:t>经审计的财务报告复印件（包含审计报告和审计报告中所涉及的财务报表和报表附注），②提供202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年度</w:t>
            </w:r>
            <w:r>
              <w:rPr>
                <w:rFonts w:hint="eastAsia" w:asciiTheme="minorEastAsia" w:hAnsiTheme="minorEastAsia" w:cstheme="minorEastAsia"/>
                <w:color w:val="auto"/>
                <w:highlight w:val="none"/>
                <w:lang w:val="en-US" w:eastAsia="zh-CN"/>
              </w:rPr>
              <w:t>或2025年度</w:t>
            </w:r>
            <w:r>
              <w:rPr>
                <w:rFonts w:hint="eastAsia" w:asciiTheme="minorEastAsia" w:hAnsiTheme="minorEastAsia" w:eastAsiaTheme="minorEastAsia" w:cstheme="minorEastAsia"/>
                <w:color w:val="auto"/>
                <w:highlight w:val="none"/>
                <w:lang w:eastAsia="zh-CN"/>
              </w:rPr>
              <w:t>参选人</w:t>
            </w:r>
            <w:r>
              <w:rPr>
                <w:rFonts w:hint="eastAsia" w:asciiTheme="minorEastAsia" w:hAnsiTheme="minorEastAsia" w:eastAsiaTheme="minorEastAsia" w:cstheme="minorEastAsia"/>
                <w:color w:val="auto"/>
                <w:highlight w:val="none"/>
              </w:rPr>
              <w:t>内部的财务报表复印件（至少包含资产负债表），③提供截至</w:t>
            </w:r>
            <w:r>
              <w:rPr>
                <w:rFonts w:hint="eastAsia" w:asciiTheme="minorEastAsia" w:hAnsiTheme="minorEastAsia" w:cstheme="minorEastAsia"/>
                <w:color w:val="auto"/>
                <w:highlight w:val="none"/>
                <w:lang w:eastAsia="zh-CN"/>
              </w:rPr>
              <w:t>报价文件</w:t>
            </w:r>
            <w:r>
              <w:rPr>
                <w:rFonts w:hint="eastAsia" w:asciiTheme="minorEastAsia" w:hAnsiTheme="minorEastAsia" w:eastAsiaTheme="minorEastAsia" w:cstheme="minorEastAsia"/>
                <w:color w:val="auto"/>
                <w:highlight w:val="none"/>
              </w:rPr>
              <w:t>递交截止日一年内银行出具的资信证明（复印件），④</w:t>
            </w:r>
            <w:r>
              <w:rPr>
                <w:rFonts w:hint="eastAsia" w:asciiTheme="minorEastAsia" w:hAnsiTheme="minorEastAsia" w:eastAsiaTheme="minorEastAsia" w:cstheme="minorEastAsia"/>
                <w:color w:val="auto"/>
                <w:highlight w:val="none"/>
                <w:lang w:eastAsia="zh-CN"/>
              </w:rPr>
              <w:t>参选人</w:t>
            </w:r>
            <w:r>
              <w:rPr>
                <w:rFonts w:hint="eastAsia" w:asciiTheme="minorEastAsia" w:hAnsiTheme="minorEastAsia" w:eastAsiaTheme="minorEastAsia" w:cstheme="minorEastAsia"/>
                <w:color w:val="auto"/>
                <w:highlight w:val="none"/>
              </w:rPr>
              <w:t>注册时间截至</w:t>
            </w:r>
            <w:r>
              <w:rPr>
                <w:rFonts w:hint="eastAsia" w:asciiTheme="minorEastAsia" w:hAnsiTheme="minorEastAsia" w:cstheme="minorEastAsia"/>
                <w:color w:val="auto"/>
                <w:highlight w:val="none"/>
                <w:lang w:eastAsia="zh-CN"/>
              </w:rPr>
              <w:t>报价文件</w:t>
            </w:r>
            <w:r>
              <w:rPr>
                <w:rFonts w:hint="eastAsia" w:asciiTheme="minorEastAsia" w:hAnsiTheme="minorEastAsia" w:eastAsiaTheme="minorEastAsia" w:cstheme="minorEastAsia"/>
                <w:color w:val="auto"/>
                <w:highlight w:val="none"/>
              </w:rPr>
              <w:t>递交截止日不足一年的，也可提供加盖工商备案主管部门印章的公司章程复印件。</w:t>
            </w:r>
          </w:p>
          <w:p w14:paraId="07F7B478">
            <w:pPr>
              <w:adjustRightInd w:val="0"/>
              <w:spacing w:line="276" w:lineRule="auto"/>
              <w:contextualSpacing/>
              <w:jc w:val="both"/>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⑤提供承诺函。</w:t>
            </w:r>
          </w:p>
          <w:p w14:paraId="0C6F4C87">
            <w:pPr>
              <w:adjustRightInd w:val="0"/>
              <w:spacing w:line="276" w:lineRule="auto"/>
              <w:contextualSpacing/>
              <w:jc w:val="both"/>
              <w:rPr>
                <w:rFonts w:hint="default"/>
                <w:lang w:val="en-US" w:eastAsia="zh-CN"/>
              </w:rPr>
            </w:pPr>
            <w:r>
              <w:rPr>
                <w:rFonts w:hint="eastAsia" w:asciiTheme="minorEastAsia" w:hAnsiTheme="minorEastAsia" w:eastAsiaTheme="minorEastAsia" w:cstheme="minorEastAsia"/>
                <w:color w:val="auto"/>
                <w:highlight w:val="none"/>
                <w:lang w:val="en-US" w:eastAsia="zh-CN"/>
              </w:rPr>
              <w:t>注：参选人根据自身情况自行选择以上1-5条要求中任意一种提供。</w:t>
            </w:r>
          </w:p>
        </w:tc>
      </w:tr>
      <w:tr w14:paraId="024C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0830770">
            <w:pPr>
              <w:numPr>
                <w:ilvl w:val="0"/>
                <w:numId w:val="1"/>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14:paraId="456F862B">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设备和专业技术能力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AD619F0">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具有履行合同所必需的设备和专业技术能力</w:t>
            </w:r>
          </w:p>
        </w:tc>
        <w:tc>
          <w:tcPr>
            <w:tcW w:w="3686" w:type="dxa"/>
            <w:vMerge w:val="restart"/>
            <w:tcBorders>
              <w:left w:val="single" w:color="auto" w:sz="4" w:space="0"/>
              <w:right w:val="single" w:color="auto" w:sz="4" w:space="0"/>
            </w:tcBorders>
            <w:vAlign w:val="center"/>
          </w:tcPr>
          <w:p w14:paraId="3B66DA01">
            <w:pPr>
              <w:adjustRightInd w:val="0"/>
              <w:spacing w:line="276" w:lineRule="auto"/>
              <w:contextualSpacing/>
              <w:jc w:val="center"/>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承诺函或相关证明材料</w:t>
            </w:r>
          </w:p>
          <w:p w14:paraId="4FF38B59">
            <w:pPr>
              <w:adjustRightInd w:val="0"/>
              <w:spacing w:line="276" w:lineRule="auto"/>
              <w:contextualSpacing/>
              <w:jc w:val="both"/>
              <w:rPr>
                <w:rFonts w:hint="eastAsia" w:asciiTheme="minorEastAsia" w:hAnsiTheme="minorEastAsia" w:eastAsiaTheme="minorEastAsia" w:cstheme="minorEastAsia"/>
                <w:bCs/>
                <w:color w:val="auto"/>
                <w:szCs w:val="21"/>
                <w:highlight w:val="none"/>
              </w:rPr>
            </w:pPr>
          </w:p>
          <w:p w14:paraId="213A2401">
            <w:pPr>
              <w:adjustRightInd w:val="0"/>
              <w:spacing w:line="276" w:lineRule="auto"/>
              <w:ind w:firstLine="472" w:firstLineChars="225"/>
              <w:contextualSpacing/>
              <w:jc w:val="center"/>
              <w:rPr>
                <w:rFonts w:hint="eastAsia" w:asciiTheme="minorEastAsia" w:hAnsiTheme="minorEastAsia" w:eastAsiaTheme="minorEastAsia" w:cstheme="minorEastAsia"/>
                <w:bCs/>
                <w:color w:val="auto"/>
                <w:szCs w:val="21"/>
                <w:highlight w:val="none"/>
                <w:lang w:val="en-US" w:eastAsia="zh-CN"/>
              </w:rPr>
            </w:pPr>
          </w:p>
        </w:tc>
      </w:tr>
      <w:tr w14:paraId="65BF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B0E139A">
            <w:pPr>
              <w:numPr>
                <w:ilvl w:val="0"/>
                <w:numId w:val="1"/>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14:paraId="6BE1793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税收和社会保障资金</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0727B1E">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具有依法缴纳税收和社会保障资金的良好记录</w:t>
            </w:r>
          </w:p>
        </w:tc>
        <w:tc>
          <w:tcPr>
            <w:tcW w:w="3686" w:type="dxa"/>
            <w:vMerge w:val="continue"/>
            <w:tcBorders>
              <w:left w:val="single" w:color="auto" w:sz="4" w:space="0"/>
              <w:right w:val="single" w:color="auto" w:sz="4" w:space="0"/>
            </w:tcBorders>
            <w:vAlign w:val="center"/>
          </w:tcPr>
          <w:p w14:paraId="11910C3D">
            <w:pPr>
              <w:adjustRightInd w:val="0"/>
              <w:spacing w:line="276" w:lineRule="auto"/>
              <w:contextualSpacing/>
              <w:jc w:val="both"/>
              <w:rPr>
                <w:rFonts w:hint="eastAsia" w:asciiTheme="minorEastAsia" w:hAnsiTheme="minorEastAsia" w:eastAsiaTheme="minorEastAsia" w:cstheme="minorEastAsia"/>
                <w:bCs/>
                <w:color w:val="auto"/>
                <w:szCs w:val="21"/>
                <w:highlight w:val="none"/>
              </w:rPr>
            </w:pPr>
          </w:p>
        </w:tc>
      </w:tr>
      <w:tr w14:paraId="7104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A960B45">
            <w:pPr>
              <w:numPr>
                <w:ilvl w:val="0"/>
                <w:numId w:val="1"/>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3D085CAC">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重大违法违规记录</w:t>
            </w:r>
          </w:p>
        </w:tc>
        <w:tc>
          <w:tcPr>
            <w:tcW w:w="2693" w:type="dxa"/>
            <w:tcBorders>
              <w:top w:val="single" w:color="auto" w:sz="4" w:space="0"/>
              <w:left w:val="single" w:color="auto" w:sz="4" w:space="0"/>
              <w:bottom w:val="single" w:color="auto" w:sz="4" w:space="0"/>
              <w:right w:val="single" w:color="auto" w:sz="4" w:space="0"/>
            </w:tcBorders>
            <w:vAlign w:val="center"/>
          </w:tcPr>
          <w:p w14:paraId="29340220">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参加本次比选活动前三年内，在经营活动中没有重大违法违规记录</w:t>
            </w:r>
          </w:p>
        </w:tc>
        <w:tc>
          <w:tcPr>
            <w:tcW w:w="3686" w:type="dxa"/>
            <w:vMerge w:val="continue"/>
            <w:tcBorders>
              <w:left w:val="single" w:color="auto" w:sz="4" w:space="0"/>
              <w:right w:val="single" w:color="auto" w:sz="4" w:space="0"/>
            </w:tcBorders>
            <w:vAlign w:val="center"/>
          </w:tcPr>
          <w:p w14:paraId="378D29F1">
            <w:pPr>
              <w:adjustRightInd w:val="0"/>
              <w:spacing w:line="276" w:lineRule="auto"/>
              <w:contextualSpacing/>
              <w:jc w:val="both"/>
              <w:rPr>
                <w:rFonts w:hint="eastAsia" w:asciiTheme="minorEastAsia" w:hAnsiTheme="minorEastAsia" w:eastAsiaTheme="minorEastAsia" w:cstheme="minorEastAsia"/>
                <w:bCs/>
                <w:color w:val="auto"/>
                <w:szCs w:val="21"/>
                <w:highlight w:val="none"/>
              </w:rPr>
            </w:pPr>
          </w:p>
        </w:tc>
      </w:tr>
      <w:tr w14:paraId="4258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0096E4B1">
            <w:pPr>
              <w:numPr>
                <w:ilvl w:val="0"/>
                <w:numId w:val="1"/>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4B13F087">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法律、行政法规规定的其他条件 </w:t>
            </w:r>
          </w:p>
        </w:tc>
        <w:tc>
          <w:tcPr>
            <w:tcW w:w="2693" w:type="dxa"/>
            <w:tcBorders>
              <w:top w:val="single" w:color="auto" w:sz="4" w:space="0"/>
              <w:left w:val="single" w:color="auto" w:sz="4" w:space="0"/>
              <w:bottom w:val="single" w:color="auto" w:sz="4" w:space="0"/>
              <w:right w:val="single" w:color="auto" w:sz="4" w:space="0"/>
            </w:tcBorders>
            <w:vAlign w:val="center"/>
          </w:tcPr>
          <w:p w14:paraId="15B402EC">
            <w:pPr>
              <w:adjustRightInd w:val="0"/>
              <w:spacing w:line="276"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Cs w:val="21"/>
                <w:highlight w:val="none"/>
              </w:rPr>
              <w:t>法律、行政法规规定的其他条件</w:t>
            </w:r>
          </w:p>
        </w:tc>
        <w:tc>
          <w:tcPr>
            <w:tcW w:w="3686" w:type="dxa"/>
            <w:vMerge w:val="continue"/>
            <w:tcBorders>
              <w:left w:val="single" w:color="auto" w:sz="4" w:space="0"/>
              <w:right w:val="single" w:color="auto" w:sz="4" w:space="0"/>
            </w:tcBorders>
            <w:vAlign w:val="center"/>
          </w:tcPr>
          <w:p w14:paraId="490EE083">
            <w:pPr>
              <w:adjustRightInd w:val="0"/>
              <w:spacing w:line="276" w:lineRule="auto"/>
              <w:contextualSpacing/>
              <w:jc w:val="both"/>
              <w:rPr>
                <w:rFonts w:hint="eastAsia" w:asciiTheme="minorEastAsia" w:hAnsiTheme="minorEastAsia" w:eastAsiaTheme="minorEastAsia" w:cstheme="minorEastAsia"/>
                <w:bCs/>
                <w:color w:val="auto"/>
                <w:szCs w:val="21"/>
                <w:highlight w:val="none"/>
              </w:rPr>
            </w:pPr>
          </w:p>
        </w:tc>
      </w:tr>
      <w:tr w14:paraId="10BB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0C4E37C">
            <w:pPr>
              <w:numPr>
                <w:ilvl w:val="0"/>
                <w:numId w:val="1"/>
              </w:numPr>
              <w:spacing w:line="276" w:lineRule="auto"/>
              <w:ind w:left="704" w:leftChars="0" w:hanging="420" w:firstLineChars="0"/>
              <w:contextualSpacing/>
              <w:jc w:val="center"/>
              <w:rPr>
                <w:rFonts w:hint="eastAsia" w:asciiTheme="minorEastAsia" w:hAnsiTheme="minorEastAsia" w:eastAsiaTheme="minorEastAsia" w:cstheme="minorEastAsia"/>
                <w:bCs/>
                <w:color w:val="auto"/>
                <w:kern w:val="2"/>
                <w:sz w:val="21"/>
                <w:szCs w:val="21"/>
                <w:highlight w:val="none"/>
                <w:lang w:val="en-US" w:eastAsia="zh-CN" w:bidi="ar-SA"/>
              </w:rPr>
            </w:pPr>
          </w:p>
        </w:tc>
        <w:tc>
          <w:tcPr>
            <w:tcW w:w="2238" w:type="dxa"/>
            <w:tcBorders>
              <w:top w:val="single" w:color="auto" w:sz="4" w:space="0"/>
              <w:left w:val="single" w:color="auto" w:sz="4" w:space="0"/>
              <w:bottom w:val="single" w:color="auto" w:sz="4" w:space="0"/>
              <w:right w:val="single" w:color="auto" w:sz="4" w:space="0"/>
            </w:tcBorders>
            <w:vAlign w:val="center"/>
          </w:tcPr>
          <w:p w14:paraId="36F94CAD">
            <w:pPr>
              <w:adjustRightInd w:val="0"/>
              <w:spacing w:line="276" w:lineRule="auto"/>
              <w:contextualSpacing/>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比选人根据采购项目提出的特殊条件</w:t>
            </w:r>
          </w:p>
          <w:p w14:paraId="6BDB58B9">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br w:type="textWrapping"/>
            </w:r>
          </w:p>
        </w:tc>
        <w:tc>
          <w:tcPr>
            <w:tcW w:w="2693" w:type="dxa"/>
            <w:tcBorders>
              <w:top w:val="single" w:color="auto" w:sz="4" w:space="0"/>
              <w:left w:val="single" w:color="auto" w:sz="4" w:space="0"/>
              <w:bottom w:val="single" w:color="auto" w:sz="4" w:space="0"/>
              <w:right w:val="single" w:color="auto" w:sz="4" w:space="0"/>
            </w:tcBorders>
            <w:vAlign w:val="center"/>
          </w:tcPr>
          <w:p w14:paraId="08B7B5BC">
            <w:pPr>
              <w:adjustRightInd w:val="0"/>
              <w:spacing w:line="276" w:lineRule="auto"/>
              <w:contextualSpacing/>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参选人为农药生产厂家的须具有有效的《农药生产许可证》；参选人为非农药生产厂家的须需具有有效的《危险化学品经营许可证》或有效的《农药经营许可证》</w:t>
            </w:r>
          </w:p>
        </w:tc>
        <w:tc>
          <w:tcPr>
            <w:tcW w:w="3686" w:type="dxa"/>
            <w:tcBorders>
              <w:left w:val="single" w:color="auto" w:sz="4" w:space="0"/>
              <w:right w:val="single" w:color="auto" w:sz="4" w:space="0"/>
            </w:tcBorders>
            <w:vAlign w:val="center"/>
          </w:tcPr>
          <w:p w14:paraId="392EBC07">
            <w:pPr>
              <w:adjustRightInd w:val="0"/>
              <w:spacing w:line="276" w:lineRule="auto"/>
              <w:contextualSpacing/>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参选人为农药生产厂家的须提供有效的《农药生产许可证》；参选人为非农药生产厂家的须提供需具有有效的《危险化学品经营许可证》或提供有效的《农药经营许可证》</w:t>
            </w:r>
          </w:p>
        </w:tc>
      </w:tr>
      <w:tr w14:paraId="0B96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551D9B13">
            <w:pPr>
              <w:numPr>
                <w:ilvl w:val="0"/>
                <w:numId w:val="1"/>
              </w:numPr>
              <w:spacing w:line="276" w:lineRule="auto"/>
              <w:ind w:left="704" w:leftChars="0" w:hanging="420" w:firstLineChars="0"/>
              <w:contextualSpacing/>
              <w:jc w:val="center"/>
              <w:rPr>
                <w:rFonts w:hint="eastAsia" w:asciiTheme="minorEastAsia" w:hAnsiTheme="minorEastAsia" w:eastAsiaTheme="minorEastAsia" w:cstheme="minorEastAsia"/>
                <w:bCs/>
                <w:color w:val="auto"/>
                <w:kern w:val="2"/>
                <w:sz w:val="21"/>
                <w:szCs w:val="21"/>
                <w:highlight w:val="none"/>
                <w:lang w:val="en-US" w:eastAsia="zh-CN" w:bidi="ar-SA"/>
              </w:rPr>
            </w:pPr>
          </w:p>
        </w:tc>
        <w:tc>
          <w:tcPr>
            <w:tcW w:w="2238" w:type="dxa"/>
            <w:tcBorders>
              <w:top w:val="single" w:color="auto" w:sz="4" w:space="0"/>
              <w:left w:val="single" w:color="auto" w:sz="4" w:space="0"/>
              <w:bottom w:val="single" w:color="auto" w:sz="4" w:space="0"/>
              <w:right w:val="single" w:color="auto" w:sz="4" w:space="0"/>
            </w:tcBorders>
            <w:vAlign w:val="center"/>
          </w:tcPr>
          <w:p w14:paraId="1856F9F1">
            <w:pPr>
              <w:adjustRightInd w:val="0"/>
              <w:spacing w:line="276" w:lineRule="auto"/>
              <w:contextualSpacing/>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禁止参加本次采购活动的参选人</w:t>
            </w:r>
          </w:p>
        </w:tc>
        <w:tc>
          <w:tcPr>
            <w:tcW w:w="2693" w:type="dxa"/>
            <w:tcBorders>
              <w:top w:val="single" w:color="auto" w:sz="4" w:space="0"/>
              <w:left w:val="single" w:color="auto" w:sz="4" w:space="0"/>
              <w:bottom w:val="single" w:color="auto" w:sz="4" w:space="0"/>
              <w:right w:val="single" w:color="auto" w:sz="4" w:space="0"/>
            </w:tcBorders>
            <w:vAlign w:val="center"/>
          </w:tcPr>
          <w:p w14:paraId="58F0FC9D">
            <w:pPr>
              <w:adjustRightInd w:val="0"/>
              <w:spacing w:line="276" w:lineRule="auto"/>
              <w:contextualSpacing/>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参选人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tc>
        <w:tc>
          <w:tcPr>
            <w:tcW w:w="3686" w:type="dxa"/>
            <w:tcBorders>
              <w:left w:val="single" w:color="auto" w:sz="4" w:space="0"/>
              <w:right w:val="single" w:color="auto" w:sz="4" w:space="0"/>
            </w:tcBorders>
            <w:vAlign w:val="center"/>
          </w:tcPr>
          <w:p w14:paraId="0B396280">
            <w:pPr>
              <w:adjustRightInd w:val="0"/>
              <w:spacing w:line="276" w:lineRule="auto"/>
              <w:contextualSpacing/>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参选人在“信用中国”网站（www.creditchina.gov.cn）、中国政府采购网(www.ccgp.gov.cn)查询并打印相应信用记录。（上述网站获取的信息查询结果原始页面的打印件或截图），非企业参与时由参选人在报价文件中自行提供承诺函，格式自拟</w:t>
            </w:r>
          </w:p>
        </w:tc>
      </w:tr>
      <w:tr w14:paraId="1BF9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683FD1">
            <w:pPr>
              <w:numPr>
                <w:ilvl w:val="0"/>
                <w:numId w:val="1"/>
              </w:numPr>
              <w:spacing w:line="276" w:lineRule="auto"/>
              <w:ind w:left="704" w:leftChars="0" w:hanging="420" w:firstLineChars="0"/>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7294E4F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以上条件必须全部通过。</w:t>
            </w:r>
          </w:p>
        </w:tc>
        <w:tc>
          <w:tcPr>
            <w:tcW w:w="2693" w:type="dxa"/>
            <w:tcBorders>
              <w:top w:val="single" w:color="auto" w:sz="4" w:space="0"/>
              <w:left w:val="single" w:color="auto" w:sz="4" w:space="0"/>
              <w:bottom w:val="single" w:color="auto" w:sz="4" w:space="0"/>
              <w:right w:val="single" w:color="auto" w:sz="4" w:space="0"/>
            </w:tcBorders>
            <w:vAlign w:val="center"/>
          </w:tcPr>
          <w:p w14:paraId="591F54F4">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3686" w:type="dxa"/>
            <w:tcBorders>
              <w:left w:val="single" w:color="auto" w:sz="4" w:space="0"/>
              <w:right w:val="single" w:color="auto" w:sz="4" w:space="0"/>
            </w:tcBorders>
            <w:vAlign w:val="center"/>
          </w:tcPr>
          <w:p w14:paraId="18ADAC15">
            <w:pPr>
              <w:adjustRightInd w:val="0"/>
              <w:spacing w:line="276" w:lineRule="auto"/>
              <w:ind w:firstLine="472" w:firstLineChars="225"/>
              <w:contextualSpacing/>
              <w:jc w:val="center"/>
              <w:rPr>
                <w:rFonts w:hint="eastAsia" w:asciiTheme="minorEastAsia" w:hAnsiTheme="minorEastAsia" w:eastAsiaTheme="minorEastAsia" w:cstheme="minorEastAsia"/>
                <w:bCs/>
                <w:color w:val="auto"/>
                <w:szCs w:val="21"/>
                <w:highlight w:val="none"/>
                <w:lang w:val="en-US" w:eastAsia="zh-CN"/>
              </w:rPr>
            </w:pPr>
          </w:p>
        </w:tc>
      </w:tr>
    </w:tbl>
    <w:p w14:paraId="5939FDB6">
      <w:pPr>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四、符合性评审</w:t>
      </w:r>
    </w:p>
    <w:p w14:paraId="052F288C">
      <w:pPr>
        <w:adjustRightInd w:val="0"/>
        <w:spacing w:line="360" w:lineRule="auto"/>
        <w:ind w:firstLine="411" w:firstLineChars="196"/>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4.1 符合性评审主要为</w:t>
      </w:r>
      <w:r>
        <w:rPr>
          <w:rFonts w:hint="eastAsia" w:asciiTheme="minorEastAsia" w:hAnsiTheme="minorEastAsia" w:cstheme="minorEastAsia"/>
          <w:bCs/>
          <w:color w:val="auto"/>
          <w:szCs w:val="21"/>
          <w:highlight w:val="none"/>
          <w:lang w:eastAsia="zh-CN"/>
        </w:rPr>
        <w:t>评审小组</w:t>
      </w:r>
      <w:r>
        <w:rPr>
          <w:rFonts w:hint="eastAsia" w:asciiTheme="minorEastAsia" w:hAnsiTheme="minorEastAsia" w:eastAsiaTheme="minorEastAsia" w:cstheme="minorEastAsia"/>
          <w:bCs/>
          <w:color w:val="auto"/>
          <w:szCs w:val="21"/>
          <w:highlight w:val="none"/>
        </w:rPr>
        <w:t>对各</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bCs/>
          <w:color w:val="auto"/>
          <w:szCs w:val="21"/>
          <w:highlight w:val="none"/>
        </w:rPr>
        <w:t>是否在实质上响应了要求进行评审。</w:t>
      </w:r>
    </w:p>
    <w:p w14:paraId="62D3D6B9">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 若</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有下表中所列任何一种情况的，则视为未能在实质上响应，属重大偏差，将不进入详细评审。</w:t>
      </w:r>
    </w:p>
    <w:p w14:paraId="59A37F39">
      <w:pPr>
        <w:adjustRightInd w:val="0"/>
        <w:spacing w:line="360" w:lineRule="auto"/>
        <w:contextualSpacing/>
        <w:jc w:val="center"/>
        <w:rPr>
          <w:rFonts w:hint="eastAsia" w:asciiTheme="minorEastAsia" w:hAnsiTheme="minorEastAsia" w:eastAsiaTheme="minorEastAsia" w:cstheme="minorEastAsia"/>
          <w:b/>
          <w:bCs/>
          <w:color w:val="auto"/>
          <w:szCs w:val="21"/>
          <w:highlight w:val="none"/>
        </w:rPr>
      </w:pPr>
    </w:p>
    <w:p w14:paraId="7778B5DA">
      <w:pPr>
        <w:adjustRightInd w:val="0"/>
        <w:spacing w:line="360" w:lineRule="auto"/>
        <w:contextualSpacing/>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cstheme="minorEastAsia"/>
          <w:b/>
          <w:bCs/>
          <w:color w:val="auto"/>
          <w:szCs w:val="21"/>
          <w:highlight w:val="none"/>
          <w:lang w:eastAsia="zh-CN"/>
        </w:rPr>
        <w:t>报价文件</w:t>
      </w:r>
      <w:r>
        <w:rPr>
          <w:rFonts w:hint="eastAsia" w:asciiTheme="minorEastAsia" w:hAnsiTheme="minorEastAsia" w:eastAsiaTheme="minorEastAsia" w:cstheme="minorEastAsia"/>
          <w:b/>
          <w:bCs/>
          <w:color w:val="auto"/>
          <w:szCs w:val="21"/>
          <w:highlight w:val="none"/>
        </w:rPr>
        <w:t>符合性评审表</w:t>
      </w:r>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524"/>
        <w:gridCol w:w="1966"/>
      </w:tblGrid>
      <w:tr w14:paraId="4DEE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9" w:type="dxa"/>
            <w:vAlign w:val="center"/>
          </w:tcPr>
          <w:p w14:paraId="0095F18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6524" w:type="dxa"/>
            <w:vAlign w:val="center"/>
          </w:tcPr>
          <w:p w14:paraId="466246E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重大偏差情况</w:t>
            </w:r>
          </w:p>
        </w:tc>
        <w:tc>
          <w:tcPr>
            <w:tcW w:w="1966" w:type="dxa"/>
            <w:vAlign w:val="center"/>
          </w:tcPr>
          <w:p w14:paraId="2B1F76E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是否存在重大偏差（填写“是”或“否”）</w:t>
            </w:r>
          </w:p>
        </w:tc>
      </w:tr>
      <w:tr w14:paraId="735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9" w:type="dxa"/>
            <w:vAlign w:val="center"/>
          </w:tcPr>
          <w:p w14:paraId="60325DC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6524" w:type="dxa"/>
            <w:vAlign w:val="center"/>
          </w:tcPr>
          <w:p w14:paraId="100344C9">
            <w:pPr>
              <w:spacing w:line="360" w:lineRule="auto"/>
              <w:ind w:left="42" w:hanging="42" w:hangingChars="20"/>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签字或盖章不符合要求</w:t>
            </w:r>
          </w:p>
        </w:tc>
        <w:tc>
          <w:tcPr>
            <w:tcW w:w="1966" w:type="dxa"/>
            <w:vAlign w:val="center"/>
          </w:tcPr>
          <w:p w14:paraId="705F4633">
            <w:pPr>
              <w:spacing w:line="360" w:lineRule="auto"/>
              <w:rPr>
                <w:rFonts w:hint="eastAsia" w:asciiTheme="minorEastAsia" w:hAnsiTheme="minorEastAsia" w:eastAsiaTheme="minorEastAsia" w:cstheme="minorEastAsia"/>
                <w:color w:val="auto"/>
                <w:szCs w:val="21"/>
                <w:highlight w:val="none"/>
              </w:rPr>
            </w:pPr>
          </w:p>
        </w:tc>
      </w:tr>
      <w:tr w14:paraId="4D7A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14:paraId="6DDACB1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6524" w:type="dxa"/>
            <w:vAlign w:val="center"/>
          </w:tcPr>
          <w:p w14:paraId="3C19D5C6">
            <w:pPr>
              <w:spacing w:line="360" w:lineRule="auto"/>
              <w:ind w:left="42" w:hanging="42" w:hangingChars="20"/>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内容不全或关键字迹是否模糊、无法辨认</w:t>
            </w:r>
          </w:p>
        </w:tc>
        <w:tc>
          <w:tcPr>
            <w:tcW w:w="1966" w:type="dxa"/>
            <w:vAlign w:val="center"/>
          </w:tcPr>
          <w:p w14:paraId="5703092B">
            <w:pPr>
              <w:spacing w:line="360" w:lineRule="auto"/>
              <w:jc w:val="left"/>
              <w:rPr>
                <w:rFonts w:hint="eastAsia" w:asciiTheme="minorEastAsia" w:hAnsiTheme="minorEastAsia" w:eastAsiaTheme="minorEastAsia" w:cstheme="minorEastAsia"/>
                <w:color w:val="auto"/>
                <w:szCs w:val="21"/>
                <w:highlight w:val="none"/>
              </w:rPr>
            </w:pPr>
          </w:p>
        </w:tc>
      </w:tr>
      <w:tr w14:paraId="0B0A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14:paraId="364C099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6524" w:type="dxa"/>
            <w:vAlign w:val="center"/>
          </w:tcPr>
          <w:p w14:paraId="1C80EE01">
            <w:pPr>
              <w:spacing w:line="360" w:lineRule="auto"/>
              <w:ind w:left="42" w:hanging="42" w:hangingChars="2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内容不满足</w:t>
            </w:r>
            <w:r>
              <w:rPr>
                <w:rFonts w:hint="eastAsia" w:asciiTheme="minorEastAsia" w:hAnsiTheme="minorEastAsia" w:cstheme="minorEastAsia"/>
                <w:color w:val="auto"/>
                <w:szCs w:val="21"/>
                <w:highlight w:val="none"/>
                <w:lang w:val="en-US" w:eastAsia="zh-CN"/>
              </w:rPr>
              <w:t>项目实质性要求</w:t>
            </w:r>
          </w:p>
        </w:tc>
        <w:tc>
          <w:tcPr>
            <w:tcW w:w="1966" w:type="dxa"/>
            <w:vAlign w:val="center"/>
          </w:tcPr>
          <w:p w14:paraId="396D21C0">
            <w:pPr>
              <w:spacing w:line="360" w:lineRule="auto"/>
              <w:jc w:val="left"/>
              <w:rPr>
                <w:rFonts w:hint="eastAsia" w:asciiTheme="minorEastAsia" w:hAnsiTheme="minorEastAsia" w:eastAsiaTheme="minorEastAsia" w:cstheme="minorEastAsia"/>
                <w:color w:val="auto"/>
                <w:szCs w:val="21"/>
                <w:highlight w:val="none"/>
              </w:rPr>
            </w:pPr>
          </w:p>
        </w:tc>
      </w:tr>
      <w:tr w14:paraId="47CC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14:paraId="49B73B1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6524" w:type="dxa"/>
            <w:vAlign w:val="center"/>
          </w:tcPr>
          <w:p w14:paraId="5A9A2EAC">
            <w:pPr>
              <w:spacing w:line="360" w:lineRule="auto"/>
              <w:ind w:left="42" w:hanging="42" w:hangingChars="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报价高于最高限价,其</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按无效处理</w:t>
            </w:r>
          </w:p>
        </w:tc>
        <w:tc>
          <w:tcPr>
            <w:tcW w:w="1966" w:type="dxa"/>
            <w:vAlign w:val="center"/>
          </w:tcPr>
          <w:p w14:paraId="6AEC0BEE">
            <w:pPr>
              <w:spacing w:line="360" w:lineRule="auto"/>
              <w:jc w:val="left"/>
              <w:rPr>
                <w:rFonts w:hint="eastAsia" w:asciiTheme="minorEastAsia" w:hAnsiTheme="minorEastAsia" w:eastAsiaTheme="minorEastAsia" w:cstheme="minorEastAsia"/>
                <w:color w:val="auto"/>
                <w:szCs w:val="21"/>
                <w:highlight w:val="none"/>
              </w:rPr>
            </w:pPr>
          </w:p>
        </w:tc>
      </w:tr>
      <w:tr w14:paraId="27E6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9" w:type="dxa"/>
            <w:vAlign w:val="center"/>
          </w:tcPr>
          <w:p w14:paraId="4A925F5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6524" w:type="dxa"/>
            <w:vAlign w:val="center"/>
          </w:tcPr>
          <w:p w14:paraId="11CFF320">
            <w:pPr>
              <w:spacing w:line="360" w:lineRule="auto"/>
              <w:ind w:left="42" w:hanging="42" w:hangingChars="20"/>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附有比选人不能接受的条件</w:t>
            </w:r>
          </w:p>
        </w:tc>
        <w:tc>
          <w:tcPr>
            <w:tcW w:w="1966" w:type="dxa"/>
            <w:vAlign w:val="center"/>
          </w:tcPr>
          <w:p w14:paraId="4EB2960D">
            <w:pPr>
              <w:spacing w:line="360" w:lineRule="auto"/>
              <w:rPr>
                <w:rFonts w:hint="eastAsia" w:asciiTheme="minorEastAsia" w:hAnsiTheme="minorEastAsia" w:eastAsiaTheme="minorEastAsia" w:cstheme="minorEastAsia"/>
                <w:color w:val="auto"/>
                <w:szCs w:val="21"/>
                <w:highlight w:val="none"/>
              </w:rPr>
            </w:pPr>
          </w:p>
        </w:tc>
      </w:tr>
      <w:tr w14:paraId="56D4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43" w:type="dxa"/>
            <w:gridSpan w:val="2"/>
            <w:vAlign w:val="center"/>
          </w:tcPr>
          <w:p w14:paraId="01688DB8">
            <w:pPr>
              <w:spacing w:line="360" w:lineRule="auto"/>
              <w:ind w:firstLine="12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结论（应填写“通过”或“不通过”）</w:t>
            </w:r>
          </w:p>
        </w:tc>
        <w:tc>
          <w:tcPr>
            <w:tcW w:w="1966" w:type="dxa"/>
            <w:vAlign w:val="center"/>
          </w:tcPr>
          <w:p w14:paraId="126F7CD9">
            <w:pPr>
              <w:spacing w:line="360" w:lineRule="auto"/>
              <w:rPr>
                <w:rFonts w:hint="eastAsia" w:asciiTheme="minorEastAsia" w:hAnsiTheme="minorEastAsia" w:eastAsiaTheme="minorEastAsia" w:cstheme="minorEastAsia"/>
                <w:color w:val="auto"/>
                <w:szCs w:val="21"/>
                <w:highlight w:val="none"/>
              </w:rPr>
            </w:pPr>
          </w:p>
        </w:tc>
      </w:tr>
    </w:tbl>
    <w:p w14:paraId="60E167F1">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4.3上述重大偏差之外的偏差为细微偏差。评审</w:t>
      </w:r>
      <w:r>
        <w:rPr>
          <w:rFonts w:hint="eastAsia" w:asciiTheme="minorEastAsia" w:hAnsiTheme="minorEastAsia" w:cstheme="minorEastAsia"/>
          <w:color w:val="auto"/>
          <w:szCs w:val="21"/>
          <w:highlight w:val="none"/>
          <w:lang w:val="en-US" w:eastAsia="zh-CN"/>
        </w:rPr>
        <w:t>小组</w:t>
      </w:r>
      <w:r>
        <w:rPr>
          <w:rFonts w:hint="eastAsia" w:asciiTheme="minorEastAsia" w:hAnsiTheme="minorEastAsia" w:eastAsiaTheme="minorEastAsia" w:cstheme="minorEastAsia"/>
          <w:color w:val="auto"/>
          <w:szCs w:val="21"/>
          <w:highlight w:val="none"/>
        </w:rPr>
        <w:t>应当书面要求存在细微偏差的</w:t>
      </w:r>
      <w:r>
        <w:rPr>
          <w:rFonts w:hint="eastAsia" w:asciiTheme="minorEastAsia" w:hAnsiTheme="minorEastAsia" w:eastAsiaTheme="minorEastAsia" w:cstheme="minorEastAsia"/>
          <w:color w:val="auto"/>
          <w:szCs w:val="21"/>
          <w:highlight w:val="none"/>
          <w:lang w:eastAsia="zh-CN"/>
        </w:rPr>
        <w:t>参选人</w:t>
      </w:r>
      <w:r>
        <w:rPr>
          <w:rFonts w:hint="eastAsia" w:asciiTheme="minorEastAsia" w:hAnsiTheme="minorEastAsia" w:eastAsiaTheme="minorEastAsia" w:cstheme="minorEastAsia"/>
          <w:color w:val="auto"/>
          <w:szCs w:val="21"/>
          <w:highlight w:val="none"/>
        </w:rPr>
        <w:t>在详细评审前予以补正。拒不补正的，在量化评分评审时可以对细微偏差作不利于</w:t>
      </w:r>
      <w:r>
        <w:rPr>
          <w:rFonts w:hint="eastAsia" w:asciiTheme="minorEastAsia" w:hAnsiTheme="minorEastAsia" w:eastAsiaTheme="minorEastAsia" w:cstheme="minorEastAsia"/>
          <w:color w:val="auto"/>
          <w:szCs w:val="21"/>
          <w:highlight w:val="none"/>
          <w:lang w:eastAsia="zh-CN"/>
        </w:rPr>
        <w:t>参选人</w:t>
      </w:r>
      <w:r>
        <w:rPr>
          <w:rFonts w:hint="eastAsia" w:asciiTheme="minorEastAsia" w:hAnsiTheme="minorEastAsia" w:eastAsiaTheme="minorEastAsia" w:cstheme="minorEastAsia"/>
          <w:color w:val="auto"/>
          <w:szCs w:val="21"/>
          <w:highlight w:val="none"/>
        </w:rPr>
        <w:t>的处理。有关澄清说明与答复，</w:t>
      </w:r>
      <w:r>
        <w:rPr>
          <w:rFonts w:hint="eastAsia" w:asciiTheme="minorEastAsia" w:hAnsiTheme="minorEastAsia" w:eastAsiaTheme="minorEastAsia" w:cstheme="minorEastAsia"/>
          <w:color w:val="auto"/>
          <w:szCs w:val="21"/>
          <w:highlight w:val="none"/>
          <w:lang w:eastAsia="zh-CN"/>
        </w:rPr>
        <w:t>参选人</w:t>
      </w:r>
      <w:r>
        <w:rPr>
          <w:rFonts w:hint="eastAsia" w:asciiTheme="minorEastAsia" w:hAnsiTheme="minorEastAsia" w:eastAsiaTheme="minorEastAsia" w:cstheme="minorEastAsia"/>
          <w:color w:val="auto"/>
          <w:szCs w:val="21"/>
          <w:highlight w:val="none"/>
        </w:rPr>
        <w:t>应以书面形式进行，但对报价等实质性的内容不得更改。澄清问题作为</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的组成部分。</w:t>
      </w:r>
    </w:p>
    <w:p w14:paraId="61C9CCC8">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对</w:t>
      </w:r>
      <w:r>
        <w:rPr>
          <w:rFonts w:hint="eastAsia" w:asciiTheme="minorEastAsia" w:hAnsiTheme="minorEastAsia" w:cstheme="minorEastAsia"/>
          <w:color w:val="auto"/>
          <w:szCs w:val="21"/>
          <w:highlight w:val="none"/>
          <w:lang w:val="en-US" w:eastAsia="zh-CN"/>
        </w:rPr>
        <w:t>项目内容</w:t>
      </w:r>
      <w:r>
        <w:rPr>
          <w:rFonts w:hint="eastAsia" w:asciiTheme="minorEastAsia" w:hAnsiTheme="minorEastAsia" w:eastAsiaTheme="minorEastAsia" w:cstheme="minorEastAsia"/>
          <w:color w:val="auto"/>
          <w:szCs w:val="21"/>
          <w:highlight w:val="none"/>
        </w:rPr>
        <w:t>理解有歧义的，可以要求比选人进一步澄清、说明或补正，直至满足</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要求。</w:t>
      </w:r>
    </w:p>
    <w:p w14:paraId="74F827D0">
      <w:pPr>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五、详细评审</w:t>
      </w:r>
    </w:p>
    <w:p w14:paraId="0C8BF535">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对通过资格性审查和符合性审查的合格</w:t>
      </w:r>
      <w:r>
        <w:rPr>
          <w:rFonts w:hint="eastAsia" w:asciiTheme="minorEastAsia" w:hAnsiTheme="minorEastAsia" w:eastAsiaTheme="minorEastAsia" w:cstheme="minorEastAsia"/>
          <w:color w:val="auto"/>
          <w:szCs w:val="21"/>
          <w:highlight w:val="none"/>
          <w:lang w:eastAsia="zh-CN"/>
        </w:rPr>
        <w:t>参选人</w:t>
      </w:r>
      <w:r>
        <w:rPr>
          <w:rFonts w:hint="eastAsia" w:asciiTheme="minorEastAsia" w:hAnsiTheme="minorEastAsia" w:eastAsiaTheme="minorEastAsia" w:cstheme="minorEastAsia"/>
          <w:color w:val="auto"/>
          <w:szCs w:val="21"/>
          <w:highlight w:val="none"/>
        </w:rPr>
        <w:t>进行详细评审，详细评审标准见量化评分标准、评分依据表。</w:t>
      </w:r>
    </w:p>
    <w:p w14:paraId="7713C1C9">
      <w:pPr>
        <w:adjustRightInd w:val="0"/>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六、低于成本</w:t>
      </w:r>
      <w:r>
        <w:rPr>
          <w:rFonts w:hint="eastAsia" w:asciiTheme="minorEastAsia" w:hAnsiTheme="minorEastAsia" w:eastAsiaTheme="minorEastAsia" w:cstheme="minorEastAsia"/>
          <w:b/>
          <w:bCs/>
          <w:color w:val="auto"/>
          <w:highlight w:val="none"/>
          <w:lang w:eastAsia="zh-CN"/>
        </w:rPr>
        <w:t>报价的</w:t>
      </w:r>
      <w:r>
        <w:rPr>
          <w:rFonts w:hint="eastAsia" w:asciiTheme="minorEastAsia" w:hAnsiTheme="minorEastAsia" w:eastAsiaTheme="minorEastAsia" w:cstheme="minorEastAsia"/>
          <w:b/>
          <w:bCs/>
          <w:color w:val="auto"/>
          <w:highlight w:val="none"/>
        </w:rPr>
        <w:t>处理</w:t>
      </w:r>
    </w:p>
    <w:p w14:paraId="617300A0">
      <w:pPr>
        <w:spacing w:line="360" w:lineRule="auto"/>
        <w:ind w:firstLine="514" w:firstLineChars="245"/>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1</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报价低于全部通过</w:t>
      </w:r>
      <w:r>
        <w:rPr>
          <w:rFonts w:hint="eastAsia" w:asciiTheme="minorEastAsia" w:hAnsiTheme="minorEastAsia" w:eastAsiaTheme="minorEastAsia" w:cstheme="minorEastAsia"/>
          <w:bCs/>
          <w:szCs w:val="21"/>
          <w:highlight w:val="none"/>
          <w:lang w:eastAsia="zh-CN"/>
        </w:rPr>
        <w:t>资格性</w:t>
      </w:r>
      <w:r>
        <w:rPr>
          <w:rFonts w:hint="eastAsia" w:asciiTheme="minorEastAsia" w:hAnsiTheme="minorEastAsia" w:eastAsiaTheme="minorEastAsia" w:cstheme="minorEastAsia"/>
          <w:bCs/>
          <w:szCs w:val="21"/>
          <w:highlight w:val="none"/>
        </w:rPr>
        <w:t>审查</w:t>
      </w:r>
      <w:r>
        <w:rPr>
          <w:rFonts w:hint="eastAsia" w:asciiTheme="minorEastAsia" w:hAnsiTheme="minorEastAsia" w:eastAsiaTheme="minorEastAsia" w:cstheme="minorEastAsia"/>
          <w:bCs/>
          <w:szCs w:val="21"/>
          <w:highlight w:val="none"/>
          <w:lang w:eastAsia="zh-CN"/>
        </w:rPr>
        <w:t>参选人比选</w:t>
      </w:r>
      <w:r>
        <w:rPr>
          <w:rFonts w:hint="eastAsia" w:asciiTheme="minorEastAsia" w:hAnsiTheme="minorEastAsia" w:eastAsiaTheme="minorEastAsia" w:cstheme="minorEastAsia"/>
          <w:bCs/>
          <w:szCs w:val="21"/>
          <w:highlight w:val="none"/>
        </w:rPr>
        <w:t>报价平均值50%的，即</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报价&lt;全部通过</w:t>
      </w:r>
      <w:r>
        <w:rPr>
          <w:rFonts w:hint="eastAsia" w:asciiTheme="minorEastAsia" w:hAnsiTheme="minorEastAsia" w:eastAsiaTheme="minorEastAsia" w:cstheme="minorEastAsia"/>
          <w:bCs/>
          <w:szCs w:val="21"/>
          <w:highlight w:val="none"/>
          <w:lang w:eastAsia="zh-CN"/>
        </w:rPr>
        <w:t>资格性</w:t>
      </w:r>
      <w:r>
        <w:rPr>
          <w:rFonts w:hint="eastAsia" w:asciiTheme="minorEastAsia" w:hAnsiTheme="minorEastAsia" w:eastAsiaTheme="minorEastAsia" w:cstheme="minorEastAsia"/>
          <w:bCs/>
          <w:szCs w:val="21"/>
          <w:highlight w:val="none"/>
        </w:rPr>
        <w:t>审查</w:t>
      </w:r>
      <w:r>
        <w:rPr>
          <w:rFonts w:hint="eastAsia" w:asciiTheme="minorEastAsia" w:hAnsiTheme="minorEastAsia" w:eastAsiaTheme="minorEastAsia" w:cstheme="minorEastAsia"/>
          <w:bCs/>
          <w:szCs w:val="21"/>
          <w:highlight w:val="none"/>
          <w:lang w:eastAsia="zh-CN"/>
        </w:rPr>
        <w:t>参选人比选</w:t>
      </w:r>
      <w:r>
        <w:rPr>
          <w:rFonts w:hint="eastAsia" w:asciiTheme="minorEastAsia" w:hAnsiTheme="minorEastAsia" w:eastAsiaTheme="minorEastAsia" w:cstheme="minorEastAsia"/>
          <w:bCs/>
          <w:szCs w:val="21"/>
          <w:highlight w:val="none"/>
        </w:rPr>
        <w:t xml:space="preserve">报价平均值×50%； </w:t>
      </w:r>
    </w:p>
    <w:p w14:paraId="228F6CDB">
      <w:pPr>
        <w:spacing w:line="360" w:lineRule="auto"/>
        <w:ind w:firstLine="514" w:firstLineChars="245"/>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2</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报价低于通过</w:t>
      </w:r>
      <w:r>
        <w:rPr>
          <w:rFonts w:hint="eastAsia" w:asciiTheme="minorEastAsia" w:hAnsiTheme="minorEastAsia" w:eastAsiaTheme="minorEastAsia" w:cstheme="minorEastAsia"/>
          <w:bCs/>
          <w:szCs w:val="21"/>
          <w:highlight w:val="none"/>
          <w:lang w:eastAsia="zh-CN"/>
        </w:rPr>
        <w:t>资格性</w:t>
      </w:r>
      <w:r>
        <w:rPr>
          <w:rFonts w:hint="eastAsia" w:asciiTheme="minorEastAsia" w:hAnsiTheme="minorEastAsia" w:eastAsiaTheme="minorEastAsia" w:cstheme="minorEastAsia"/>
          <w:bCs/>
          <w:szCs w:val="21"/>
          <w:highlight w:val="none"/>
        </w:rPr>
        <w:t>审查的次低报价</w:t>
      </w:r>
      <w:r>
        <w:rPr>
          <w:rFonts w:hint="eastAsia" w:asciiTheme="minorEastAsia" w:hAnsiTheme="minorEastAsia" w:eastAsiaTheme="minorEastAsia" w:cstheme="minorEastAsia"/>
          <w:bCs/>
          <w:szCs w:val="21"/>
          <w:highlight w:val="none"/>
          <w:lang w:eastAsia="zh-CN"/>
        </w:rPr>
        <w:t>参选人比选</w:t>
      </w:r>
      <w:r>
        <w:rPr>
          <w:rFonts w:hint="eastAsia" w:asciiTheme="minorEastAsia" w:hAnsiTheme="minorEastAsia" w:eastAsiaTheme="minorEastAsia" w:cstheme="minorEastAsia"/>
          <w:bCs/>
          <w:szCs w:val="21"/>
          <w:highlight w:val="none"/>
        </w:rPr>
        <w:t>报价50%的，即</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报价&lt;通过</w:t>
      </w:r>
      <w:r>
        <w:rPr>
          <w:rFonts w:hint="eastAsia" w:asciiTheme="minorEastAsia" w:hAnsiTheme="minorEastAsia" w:eastAsiaTheme="minorEastAsia" w:cstheme="minorEastAsia"/>
          <w:bCs/>
          <w:szCs w:val="21"/>
          <w:highlight w:val="none"/>
          <w:lang w:eastAsia="zh-CN"/>
        </w:rPr>
        <w:t>资格性</w:t>
      </w:r>
      <w:r>
        <w:rPr>
          <w:rFonts w:hint="eastAsia" w:asciiTheme="minorEastAsia" w:hAnsiTheme="minorEastAsia" w:eastAsiaTheme="minorEastAsia" w:cstheme="minorEastAsia"/>
          <w:bCs/>
          <w:szCs w:val="21"/>
          <w:highlight w:val="none"/>
        </w:rPr>
        <w:t>审查的次低报价</w:t>
      </w:r>
      <w:r>
        <w:rPr>
          <w:rFonts w:hint="eastAsia" w:asciiTheme="minorEastAsia" w:hAnsiTheme="minorEastAsia" w:eastAsiaTheme="minorEastAsia" w:cstheme="minorEastAsia"/>
          <w:bCs/>
          <w:szCs w:val="21"/>
          <w:highlight w:val="none"/>
          <w:lang w:eastAsia="zh-CN"/>
        </w:rPr>
        <w:t>参选人比选</w:t>
      </w:r>
      <w:r>
        <w:rPr>
          <w:rFonts w:hint="eastAsia" w:asciiTheme="minorEastAsia" w:hAnsiTheme="minorEastAsia" w:eastAsiaTheme="minorEastAsia" w:cstheme="minorEastAsia"/>
          <w:bCs/>
          <w:szCs w:val="21"/>
          <w:highlight w:val="none"/>
        </w:rPr>
        <w:t xml:space="preserve">报价×50%； </w:t>
      </w:r>
    </w:p>
    <w:p w14:paraId="19F8410E">
      <w:pPr>
        <w:spacing w:line="360" w:lineRule="auto"/>
        <w:ind w:firstLine="514" w:firstLineChars="245"/>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3</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报价低于项目最高限价45%的，即</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报价&lt;项目最高限价×45%；</w:t>
      </w:r>
    </w:p>
    <w:p w14:paraId="04924746">
      <w:pPr>
        <w:spacing w:line="360" w:lineRule="auto"/>
        <w:ind w:firstLine="514" w:firstLineChars="245"/>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4</w:t>
      </w:r>
      <w:r>
        <w:rPr>
          <w:rFonts w:hint="eastAsia" w:asciiTheme="minorEastAsia" w:hAnsiTheme="minorEastAsia" w:eastAsiaTheme="minorEastAsia" w:cstheme="minorEastAsia"/>
          <w:bCs/>
          <w:szCs w:val="21"/>
          <w:highlight w:val="none"/>
          <w:lang w:eastAsia="zh-CN"/>
        </w:rPr>
        <w:t>）评审小组</w:t>
      </w:r>
      <w:r>
        <w:rPr>
          <w:rFonts w:hint="eastAsia" w:asciiTheme="minorEastAsia" w:hAnsiTheme="minorEastAsia" w:eastAsiaTheme="minorEastAsia" w:cstheme="minorEastAsia"/>
          <w:bCs/>
          <w:szCs w:val="21"/>
          <w:highlight w:val="none"/>
        </w:rPr>
        <w:t>启动异常低价</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审查后，属于前述第1项至第</w:t>
      </w:r>
      <w:r>
        <w:rPr>
          <w:rFonts w:hint="eastAsia" w:asciiTheme="minorEastAsia" w:hAnsiTheme="minorEastAsia" w:eastAsiaTheme="minorEastAsia" w:cstheme="minorEastAsia"/>
          <w:bCs/>
          <w:szCs w:val="21"/>
          <w:highlight w:val="none"/>
          <w:lang w:val="en-US" w:eastAsia="zh-CN"/>
        </w:rPr>
        <w:t>3</w:t>
      </w:r>
      <w:r>
        <w:rPr>
          <w:rFonts w:hint="eastAsia" w:asciiTheme="minorEastAsia" w:hAnsiTheme="minorEastAsia" w:eastAsiaTheme="minorEastAsia" w:cstheme="minorEastAsia"/>
          <w:bCs/>
          <w:szCs w:val="21"/>
          <w:highlight w:val="none"/>
        </w:rPr>
        <w:t>项情形的，应当要求相关</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Cs/>
          <w:szCs w:val="21"/>
          <w:highlight w:val="none"/>
        </w:rPr>
        <w:t>在评审现场合理的时间内对</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价格作出解释，提供项目具体成本测算等与报价合理性相关的书面说明及必要的证明材料，包括但不限于原材料成本、人工成本、制造费用等，给予相关</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Cs/>
          <w:szCs w:val="21"/>
          <w:highlight w:val="none"/>
        </w:rPr>
        <w:t>的合理时间一般不少于30分钟。其中，属于第3项情形，</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Cs/>
          <w:szCs w:val="21"/>
          <w:highlight w:val="none"/>
        </w:rPr>
        <w:t>已随</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 xml:space="preserve">文件一并提交相关书面说明及必要的证明材料的，在评审现场可不再重复提交。 </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Cs/>
          <w:szCs w:val="21"/>
          <w:highlight w:val="none"/>
        </w:rPr>
        <w:t>不能证明其报价合理性的，</w:t>
      </w:r>
      <w:r>
        <w:rPr>
          <w:rFonts w:hint="eastAsia" w:asciiTheme="minorEastAsia" w:hAnsiTheme="minorEastAsia" w:eastAsiaTheme="minorEastAsia" w:cstheme="minorEastAsia"/>
          <w:bCs/>
          <w:szCs w:val="21"/>
          <w:highlight w:val="none"/>
          <w:lang w:eastAsia="zh-CN"/>
        </w:rPr>
        <w:t>评审小组</w:t>
      </w:r>
      <w:r>
        <w:rPr>
          <w:rFonts w:hint="eastAsia" w:asciiTheme="minorEastAsia" w:hAnsiTheme="minorEastAsia" w:eastAsiaTheme="minorEastAsia" w:cstheme="minorEastAsia"/>
          <w:bCs/>
          <w:szCs w:val="21"/>
          <w:highlight w:val="none"/>
        </w:rPr>
        <w:t>应当将其作为</w:t>
      </w:r>
      <w:r>
        <w:rPr>
          <w:rFonts w:hint="eastAsia" w:asciiTheme="minorEastAsia" w:hAnsiTheme="minorEastAsia" w:eastAsiaTheme="minorEastAsia" w:cstheme="minorEastAsia"/>
          <w:bCs/>
          <w:szCs w:val="21"/>
          <w:highlight w:val="none"/>
          <w:lang w:eastAsia="zh-CN"/>
        </w:rPr>
        <w:t>无效处理。</w:t>
      </w:r>
    </w:p>
    <w:p w14:paraId="3C07920C">
      <w:pPr>
        <w:adjustRightInd w:val="0"/>
        <w:spacing w:line="360" w:lineRule="auto"/>
        <w:contextualSpacing/>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七、推荐候选人</w:t>
      </w:r>
    </w:p>
    <w:p w14:paraId="73B4FC57">
      <w:pPr>
        <w:spacing w:line="360" w:lineRule="auto"/>
        <w:ind w:firstLine="514" w:firstLineChars="245"/>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cstheme="minorEastAsia"/>
          <w:bCs/>
          <w:szCs w:val="21"/>
          <w:highlight w:val="none"/>
          <w:lang w:eastAsia="zh-CN"/>
        </w:rPr>
        <w:t>评审小组</w:t>
      </w:r>
      <w:r>
        <w:rPr>
          <w:rFonts w:hint="eastAsia" w:asciiTheme="minorEastAsia" w:hAnsiTheme="minorEastAsia" w:eastAsiaTheme="minorEastAsia" w:cstheme="minorEastAsia"/>
          <w:bCs/>
          <w:szCs w:val="21"/>
          <w:highlight w:val="none"/>
        </w:rPr>
        <w:t>按综合得分由高到低的排名顺序依次推荐前1-3名参选人为候选人，若出现参选人最终综合得分相同时，则参选人报价低的排名应靠前</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cstheme="minorEastAsia"/>
          <w:bCs/>
          <w:color w:val="auto"/>
          <w:szCs w:val="21"/>
          <w:highlight w:val="none"/>
          <w:lang w:val="en-US" w:eastAsia="zh-CN"/>
        </w:rPr>
        <w:t>最终结果在中心官网上进行候选人公示，公示期间无异议，则第一候选人为本项目中标人。</w:t>
      </w:r>
    </w:p>
    <w:p w14:paraId="59A4417C">
      <w:pPr>
        <w:pStyle w:val="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18"/>
          <w:szCs w:val="18"/>
          <w:highlight w:val="none"/>
        </w:rPr>
        <w:t>详细评审表量化评分标准、评分依据（满分100分）</w:t>
      </w:r>
    </w:p>
    <w:tbl>
      <w:tblPr>
        <w:tblStyle w:val="10"/>
        <w:tblW w:w="10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856"/>
        <w:gridCol w:w="820"/>
        <w:gridCol w:w="6894"/>
        <w:gridCol w:w="897"/>
      </w:tblGrid>
      <w:tr w14:paraId="4500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2" w:type="dxa"/>
            <w:noWrap w:val="0"/>
            <w:vAlign w:val="center"/>
          </w:tcPr>
          <w:p w14:paraId="24418CD1">
            <w:pPr>
              <w:keepNext w:val="0"/>
              <w:keepLines w:val="0"/>
              <w:suppressLineNumbers w:val="0"/>
              <w:spacing w:before="0" w:beforeAutospacing="0" w:after="0" w:afterAutospacing="0"/>
              <w:ind w:left="0" w:right="0"/>
              <w:jc w:val="center"/>
              <w:rPr>
                <w:rFonts w:hint="eastAsia" w:ascii="宋体" w:hAnsi="宋体" w:eastAsia="宋体" w:cs="仿宋"/>
                <w:b/>
                <w:color w:val="auto"/>
                <w:kern w:val="0"/>
                <w:sz w:val="22"/>
                <w:szCs w:val="21"/>
                <w:highlight w:val="none"/>
                <w:lang w:val="en-US" w:eastAsia="zh-CN"/>
              </w:rPr>
            </w:pPr>
            <w:r>
              <w:rPr>
                <w:rFonts w:hint="eastAsia" w:ascii="宋体" w:hAnsi="宋体" w:cs="仿宋"/>
                <w:b/>
                <w:color w:val="auto"/>
                <w:kern w:val="0"/>
                <w:sz w:val="22"/>
                <w:szCs w:val="21"/>
                <w:highlight w:val="none"/>
                <w:lang w:val="en-US" w:eastAsia="zh-CN"/>
              </w:rPr>
              <w:t>序号</w:t>
            </w:r>
          </w:p>
        </w:tc>
        <w:tc>
          <w:tcPr>
            <w:tcW w:w="856" w:type="dxa"/>
            <w:noWrap w:val="0"/>
            <w:vAlign w:val="center"/>
          </w:tcPr>
          <w:p w14:paraId="31D873ED">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default" w:ascii="宋体" w:hAnsi="宋体" w:cs="仿宋"/>
                <w:b/>
                <w:color w:val="auto"/>
                <w:kern w:val="0"/>
                <w:sz w:val="22"/>
                <w:szCs w:val="21"/>
                <w:highlight w:val="none"/>
              </w:rPr>
              <w:t>评分因素</w:t>
            </w:r>
          </w:p>
        </w:tc>
        <w:tc>
          <w:tcPr>
            <w:tcW w:w="820" w:type="dxa"/>
            <w:noWrap w:val="0"/>
            <w:vAlign w:val="center"/>
          </w:tcPr>
          <w:p w14:paraId="0E2ACDF2">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default" w:ascii="宋体" w:hAnsi="宋体" w:cs="仿宋"/>
                <w:b/>
                <w:color w:val="auto"/>
                <w:kern w:val="0"/>
                <w:sz w:val="22"/>
                <w:szCs w:val="21"/>
                <w:highlight w:val="none"/>
              </w:rPr>
              <w:t>分值</w:t>
            </w:r>
          </w:p>
        </w:tc>
        <w:tc>
          <w:tcPr>
            <w:tcW w:w="6894" w:type="dxa"/>
            <w:noWrap w:val="0"/>
            <w:vAlign w:val="center"/>
          </w:tcPr>
          <w:p w14:paraId="7869F8C6">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default" w:ascii="宋体" w:hAnsi="宋体" w:cs="仿宋"/>
                <w:b/>
                <w:color w:val="auto"/>
                <w:kern w:val="0"/>
                <w:sz w:val="22"/>
                <w:szCs w:val="21"/>
                <w:highlight w:val="none"/>
              </w:rPr>
              <w:t>评分标准</w:t>
            </w:r>
          </w:p>
        </w:tc>
        <w:tc>
          <w:tcPr>
            <w:tcW w:w="897" w:type="dxa"/>
            <w:noWrap w:val="0"/>
            <w:vAlign w:val="center"/>
          </w:tcPr>
          <w:p w14:paraId="267C32C4">
            <w:pPr>
              <w:keepNext w:val="0"/>
              <w:keepLines w:val="0"/>
              <w:suppressLineNumbers w:val="0"/>
              <w:spacing w:before="0" w:beforeAutospacing="0" w:after="0" w:afterAutospacing="0"/>
              <w:ind w:left="0" w:right="0"/>
              <w:jc w:val="center"/>
              <w:rPr>
                <w:rFonts w:hint="default" w:ascii="宋体" w:hAnsi="宋体" w:eastAsia="宋体"/>
                <w:b/>
                <w:color w:val="auto"/>
                <w:szCs w:val="21"/>
                <w:highlight w:val="none"/>
              </w:rPr>
            </w:pPr>
            <w:r>
              <w:rPr>
                <w:rFonts w:hint="default" w:ascii="宋体" w:hAnsi="宋体" w:eastAsia="宋体"/>
                <w:b/>
                <w:color w:val="auto"/>
                <w:szCs w:val="21"/>
                <w:highlight w:val="none"/>
              </w:rPr>
              <w:t>备注</w:t>
            </w:r>
          </w:p>
        </w:tc>
      </w:tr>
      <w:tr w14:paraId="0B24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722" w:type="dxa"/>
            <w:noWrap w:val="0"/>
            <w:vAlign w:val="center"/>
          </w:tcPr>
          <w:p w14:paraId="0258F947">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一</w:t>
            </w:r>
          </w:p>
        </w:tc>
        <w:tc>
          <w:tcPr>
            <w:tcW w:w="856" w:type="dxa"/>
            <w:noWrap w:val="0"/>
            <w:vAlign w:val="center"/>
          </w:tcPr>
          <w:p w14:paraId="03082B21">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rPr>
              <w:t>价格</w:t>
            </w:r>
            <w:r>
              <w:rPr>
                <w:rFonts w:hint="eastAsia" w:ascii="宋体" w:hAnsi="宋体"/>
                <w:color w:val="auto"/>
                <w:szCs w:val="21"/>
                <w:highlight w:val="none"/>
                <w:lang w:val="en-US" w:eastAsia="zh-CN"/>
              </w:rPr>
              <w:t>30%</w:t>
            </w:r>
          </w:p>
        </w:tc>
        <w:tc>
          <w:tcPr>
            <w:tcW w:w="820" w:type="dxa"/>
            <w:noWrap w:val="0"/>
            <w:vAlign w:val="center"/>
          </w:tcPr>
          <w:p w14:paraId="0914409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30</w:t>
            </w:r>
            <w:r>
              <w:rPr>
                <w:rFonts w:hint="default" w:ascii="宋体" w:hAnsi="宋体" w:eastAsia="宋体"/>
                <w:color w:val="auto"/>
                <w:szCs w:val="21"/>
                <w:highlight w:val="none"/>
              </w:rPr>
              <w:t>分</w:t>
            </w:r>
          </w:p>
        </w:tc>
        <w:tc>
          <w:tcPr>
            <w:tcW w:w="6894" w:type="dxa"/>
            <w:noWrap w:val="0"/>
            <w:vAlign w:val="center"/>
          </w:tcPr>
          <w:p w14:paraId="446207DE">
            <w:pPr>
              <w:keepNext w:val="0"/>
              <w:keepLines w:val="0"/>
              <w:suppressLineNumbers w:val="0"/>
              <w:spacing w:before="0" w:beforeAutospacing="0" w:after="0" w:afterAutospacing="0"/>
              <w:ind w:left="0" w:right="0"/>
              <w:rPr>
                <w:rFonts w:hint="eastAsia"/>
                <w:color w:val="auto"/>
                <w:szCs w:val="20"/>
                <w:highlight w:val="none"/>
              </w:rPr>
            </w:pPr>
            <w:r>
              <w:rPr>
                <w:rFonts w:hint="eastAsia"/>
                <w:color w:val="auto"/>
                <w:szCs w:val="20"/>
                <w:highlight w:val="none"/>
              </w:rPr>
              <w:t>满足要求且</w:t>
            </w:r>
            <w:r>
              <w:rPr>
                <w:rFonts w:hint="eastAsia"/>
                <w:color w:val="auto"/>
                <w:szCs w:val="20"/>
                <w:highlight w:val="none"/>
                <w:lang w:val="en-US" w:eastAsia="zh-CN"/>
              </w:rPr>
              <w:t>报价最低</w:t>
            </w:r>
            <w:r>
              <w:rPr>
                <w:rFonts w:hint="eastAsia"/>
                <w:color w:val="auto"/>
                <w:szCs w:val="20"/>
                <w:highlight w:val="none"/>
              </w:rPr>
              <w:t>的</w:t>
            </w:r>
            <w:r>
              <w:rPr>
                <w:rFonts w:hint="eastAsia"/>
                <w:color w:val="auto"/>
                <w:szCs w:val="20"/>
                <w:highlight w:val="none"/>
                <w:lang w:eastAsia="zh-CN"/>
              </w:rPr>
              <w:t>参选人</w:t>
            </w:r>
            <w:r>
              <w:rPr>
                <w:rFonts w:hint="eastAsia"/>
                <w:color w:val="auto"/>
                <w:szCs w:val="20"/>
                <w:highlight w:val="none"/>
              </w:rPr>
              <w:t>的价格为</w:t>
            </w:r>
            <w:r>
              <w:rPr>
                <w:rFonts w:hint="eastAsia"/>
                <w:color w:val="auto"/>
                <w:szCs w:val="20"/>
                <w:highlight w:val="none"/>
                <w:lang w:eastAsia="zh-CN"/>
              </w:rPr>
              <w:t>比选</w:t>
            </w:r>
            <w:r>
              <w:rPr>
                <w:rFonts w:hint="eastAsia"/>
                <w:color w:val="auto"/>
                <w:szCs w:val="20"/>
                <w:highlight w:val="none"/>
              </w:rPr>
              <w:t>基准价，其价格分为满分。其他</w:t>
            </w:r>
            <w:r>
              <w:rPr>
                <w:rFonts w:hint="eastAsia"/>
                <w:color w:val="auto"/>
                <w:szCs w:val="20"/>
                <w:highlight w:val="none"/>
                <w:lang w:eastAsia="zh-CN"/>
              </w:rPr>
              <w:t>参选人</w:t>
            </w:r>
            <w:r>
              <w:rPr>
                <w:rFonts w:hint="eastAsia"/>
                <w:color w:val="auto"/>
                <w:szCs w:val="20"/>
                <w:highlight w:val="none"/>
              </w:rPr>
              <w:t>的价格分统一按照下列公式计算：</w:t>
            </w:r>
          </w:p>
          <w:p w14:paraId="350705E7">
            <w:pPr>
              <w:keepNext w:val="0"/>
              <w:keepLines w:val="0"/>
              <w:suppressLineNumbers w:val="0"/>
              <w:spacing w:before="0" w:beforeAutospacing="0" w:after="0" w:afterAutospacing="0"/>
              <w:ind w:left="0" w:right="0"/>
              <w:rPr>
                <w:rFonts w:hint="default"/>
                <w:color w:val="auto"/>
                <w:szCs w:val="20"/>
                <w:highlight w:val="none"/>
                <w:lang w:val="en-US"/>
              </w:rPr>
            </w:pPr>
            <w:r>
              <w:rPr>
                <w:rFonts w:hint="eastAsia"/>
                <w:color w:val="auto"/>
                <w:szCs w:val="20"/>
                <w:highlight w:val="none"/>
                <w:lang w:eastAsia="zh-CN"/>
              </w:rPr>
              <w:t>比选</w:t>
            </w:r>
            <w:r>
              <w:rPr>
                <w:rFonts w:hint="eastAsia"/>
                <w:color w:val="auto"/>
                <w:szCs w:val="20"/>
                <w:highlight w:val="none"/>
              </w:rPr>
              <w:t>报价得分=</w:t>
            </w:r>
            <w:r>
              <w:rPr>
                <w:rFonts w:hint="eastAsia"/>
                <w:color w:val="auto"/>
                <w:szCs w:val="20"/>
                <w:highlight w:val="none"/>
                <w:lang w:eastAsia="zh-CN"/>
              </w:rPr>
              <w:t>比选</w:t>
            </w:r>
            <w:r>
              <w:rPr>
                <w:rFonts w:hint="eastAsia"/>
                <w:color w:val="auto"/>
                <w:szCs w:val="20"/>
                <w:highlight w:val="none"/>
              </w:rPr>
              <w:t>基准价／</w:t>
            </w:r>
            <w:r>
              <w:rPr>
                <w:rFonts w:hint="eastAsia"/>
                <w:color w:val="auto"/>
                <w:szCs w:val="20"/>
                <w:highlight w:val="none"/>
                <w:lang w:val="en-US" w:eastAsia="zh-CN"/>
              </w:rPr>
              <w:t>比选报价</w:t>
            </w:r>
            <w:r>
              <w:rPr>
                <w:rFonts w:hint="eastAsia"/>
                <w:color w:val="auto"/>
                <w:szCs w:val="20"/>
                <w:highlight w:val="none"/>
              </w:rPr>
              <w:t>×</w:t>
            </w:r>
            <w:r>
              <w:rPr>
                <w:rFonts w:hint="eastAsia"/>
                <w:color w:val="auto"/>
                <w:szCs w:val="20"/>
                <w:highlight w:val="none"/>
                <w:lang w:val="en-US" w:eastAsia="zh-CN"/>
              </w:rPr>
              <w:t>30</w:t>
            </w:r>
          </w:p>
          <w:p w14:paraId="06F5E685">
            <w:pPr>
              <w:pStyle w:val="13"/>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exact"/>
              <w:ind w:left="0" w:leftChars="0" w:right="0"/>
              <w:jc w:val="both"/>
              <w:textAlignment w:val="auto"/>
              <w:rPr>
                <w:rFonts w:hint="eastAsia" w:ascii="Times New Roman" w:hAnsi="Times New Roman" w:eastAsia="宋体" w:cs="Times New Roman"/>
                <w:snapToGrid/>
                <w:color w:val="auto"/>
                <w:kern w:val="2"/>
                <w:sz w:val="21"/>
                <w:szCs w:val="24"/>
                <w:highlight w:val="none"/>
                <w:lang w:val="en-US" w:eastAsia="zh-CN" w:bidi="ar-SA"/>
              </w:rPr>
            </w:pPr>
            <w:r>
              <w:rPr>
                <w:rFonts w:hint="eastAsia" w:ascii="Times New Roman" w:hAnsi="Times New Roman" w:eastAsia="宋体" w:cs="Times New Roman"/>
                <w:snapToGrid/>
                <w:color w:val="auto"/>
                <w:kern w:val="2"/>
                <w:sz w:val="21"/>
                <w:szCs w:val="24"/>
                <w:highlight w:val="none"/>
                <w:lang w:val="en-US" w:eastAsia="zh-CN" w:bidi="ar-SA"/>
              </w:rPr>
              <w:t>注：1.项目评审过程中，不得去掉</w:t>
            </w:r>
            <w:r>
              <w:rPr>
                <w:rFonts w:hint="eastAsia"/>
                <w:color w:val="auto"/>
                <w:szCs w:val="20"/>
                <w:highlight w:val="none"/>
                <w:lang w:eastAsia="zh-CN"/>
              </w:rPr>
              <w:t>比选</w:t>
            </w:r>
            <w:r>
              <w:rPr>
                <w:rFonts w:hint="eastAsia" w:ascii="Times New Roman" w:hAnsi="Times New Roman" w:eastAsia="宋体" w:cs="Times New Roman"/>
                <w:snapToGrid/>
                <w:color w:val="auto"/>
                <w:kern w:val="2"/>
                <w:sz w:val="21"/>
                <w:szCs w:val="24"/>
                <w:highlight w:val="none"/>
                <w:lang w:val="en-US" w:eastAsia="zh-CN" w:bidi="ar-SA"/>
              </w:rPr>
              <w:t>报价中的最高报价和最低报价。</w:t>
            </w:r>
          </w:p>
          <w:p w14:paraId="2D1E81B1">
            <w:pPr>
              <w:pStyle w:val="3"/>
              <w:keepNext w:val="0"/>
              <w:keepLines w:val="0"/>
              <w:suppressLineNumbers w:val="0"/>
              <w:spacing w:before="0" w:beforeAutospacing="0" w:after="0" w:afterAutospacing="0"/>
              <w:ind w:left="0" w:right="0"/>
              <w:rPr>
                <w:rFonts w:hint="default"/>
                <w:color w:val="auto"/>
                <w:szCs w:val="20"/>
                <w:highlight w:val="none"/>
              </w:rPr>
            </w:pPr>
            <w:r>
              <w:rPr>
                <w:rFonts w:hint="eastAsia" w:eastAsia="宋体" w:cs="Times New Roman"/>
                <w:snapToGrid/>
                <w:color w:val="auto"/>
                <w:kern w:val="2"/>
                <w:sz w:val="21"/>
                <w:szCs w:val="24"/>
                <w:highlight w:val="none"/>
                <w:lang w:val="en-US" w:eastAsia="zh-CN" w:bidi="ar-SA"/>
              </w:rPr>
              <w:t>2</w:t>
            </w:r>
            <w:r>
              <w:rPr>
                <w:rFonts w:hint="eastAsia" w:ascii="Times New Roman" w:hAnsi="Times New Roman" w:eastAsia="宋体" w:cs="Times New Roman"/>
                <w:snapToGrid/>
                <w:color w:val="auto"/>
                <w:kern w:val="2"/>
                <w:sz w:val="21"/>
                <w:szCs w:val="24"/>
                <w:highlight w:val="none"/>
                <w:lang w:val="en-US" w:eastAsia="zh-CN" w:bidi="ar-SA"/>
              </w:rPr>
              <w:t>.报价评分的取值按四舍五入法，保留小数点后两位</w:t>
            </w:r>
            <w:r>
              <w:rPr>
                <w:rFonts w:hint="eastAsia" w:ascii="宋体" w:hAnsi="宋体" w:eastAsia="宋体" w:cs="宋体"/>
                <w:snapToGrid w:val="0"/>
                <w:color w:val="auto"/>
                <w:kern w:val="2"/>
                <w:sz w:val="21"/>
                <w:szCs w:val="21"/>
                <w:highlight w:val="none"/>
                <w:lang w:val="en-US" w:eastAsia="zh-CN" w:bidi="ar-SA"/>
              </w:rPr>
              <w:t>。</w:t>
            </w:r>
          </w:p>
        </w:tc>
        <w:tc>
          <w:tcPr>
            <w:tcW w:w="897" w:type="dxa"/>
            <w:noWrap w:val="0"/>
            <w:vAlign w:val="center"/>
          </w:tcPr>
          <w:p w14:paraId="04C7395C">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共同评分因素</w:t>
            </w:r>
          </w:p>
        </w:tc>
      </w:tr>
      <w:tr w14:paraId="407F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22" w:type="dxa"/>
            <w:noWrap w:val="0"/>
            <w:vAlign w:val="center"/>
          </w:tcPr>
          <w:p w14:paraId="58B9542F">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textAlignment w:val="auto"/>
              <w:outlineLvl w:val="9"/>
              <w:rPr>
                <w:rFonts w:hint="default" w:cs="宋体"/>
                <w:color w:val="auto"/>
                <w:sz w:val="21"/>
                <w:szCs w:val="21"/>
                <w:highlight w:val="none"/>
                <w:lang w:val="en-US" w:eastAsia="zh-CN"/>
              </w:rPr>
            </w:pPr>
            <w:r>
              <w:rPr>
                <w:rFonts w:hint="eastAsia" w:cs="宋体"/>
                <w:color w:val="auto"/>
                <w:sz w:val="21"/>
                <w:szCs w:val="21"/>
                <w:highlight w:val="none"/>
                <w:lang w:val="en-US" w:eastAsia="zh-CN"/>
              </w:rPr>
              <w:t>二</w:t>
            </w:r>
          </w:p>
        </w:tc>
        <w:tc>
          <w:tcPr>
            <w:tcW w:w="856" w:type="dxa"/>
            <w:noWrap w:val="0"/>
            <w:vAlign w:val="center"/>
          </w:tcPr>
          <w:p w14:paraId="58F0A49D">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配送方案</w:t>
            </w:r>
          </w:p>
          <w:p w14:paraId="7EC49E73">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textAlignment w:val="auto"/>
              <w:outlineLvl w:val="9"/>
              <w:rPr>
                <w:rFonts w:hint="default" w:ascii="宋体" w:hAnsi="宋体" w:eastAsia="宋体"/>
                <w:color w:val="auto"/>
                <w:szCs w:val="21"/>
                <w:highlight w:val="none"/>
              </w:rPr>
            </w:pPr>
            <w:r>
              <w:rPr>
                <w:rFonts w:hint="eastAsia" w:cs="宋体"/>
                <w:color w:val="auto"/>
                <w:sz w:val="21"/>
                <w:szCs w:val="21"/>
                <w:highlight w:val="none"/>
                <w:lang w:val="en-US" w:eastAsia="zh-CN"/>
              </w:rPr>
              <w:t>32</w:t>
            </w:r>
            <w:r>
              <w:rPr>
                <w:rFonts w:hint="eastAsia" w:ascii="宋体" w:hAnsi="宋体" w:eastAsia="宋体" w:cs="宋体"/>
                <w:color w:val="auto"/>
                <w:sz w:val="21"/>
                <w:szCs w:val="21"/>
                <w:highlight w:val="none"/>
              </w:rPr>
              <w:t>%</w:t>
            </w:r>
          </w:p>
        </w:tc>
        <w:tc>
          <w:tcPr>
            <w:tcW w:w="820" w:type="dxa"/>
            <w:noWrap w:val="0"/>
            <w:vAlign w:val="center"/>
          </w:tcPr>
          <w:p w14:paraId="616F7395">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textAlignment w:val="auto"/>
              <w:outlineLvl w:val="9"/>
              <w:rPr>
                <w:rFonts w:hint="default" w:ascii="宋体" w:hAnsi="宋体" w:eastAsia="宋体"/>
                <w:color w:val="auto"/>
                <w:szCs w:val="21"/>
                <w:highlight w:val="none"/>
                <w:lang w:val="en-US" w:eastAsia="zh-CN"/>
              </w:rPr>
            </w:pPr>
            <w:r>
              <w:rPr>
                <w:rFonts w:hint="eastAsia" w:cs="宋体"/>
                <w:color w:val="auto"/>
                <w:sz w:val="21"/>
                <w:szCs w:val="21"/>
                <w:highlight w:val="none"/>
                <w:lang w:val="en-US" w:eastAsia="zh-CN"/>
              </w:rPr>
              <w:t>32</w:t>
            </w:r>
            <w:r>
              <w:rPr>
                <w:rFonts w:hint="eastAsia" w:ascii="宋体" w:hAnsi="宋体" w:eastAsia="宋体" w:cs="宋体"/>
                <w:color w:val="auto"/>
                <w:sz w:val="21"/>
                <w:szCs w:val="21"/>
                <w:highlight w:val="none"/>
              </w:rPr>
              <w:t>分</w:t>
            </w:r>
          </w:p>
        </w:tc>
        <w:tc>
          <w:tcPr>
            <w:tcW w:w="6894" w:type="dxa"/>
            <w:noWrap w:val="0"/>
            <w:vAlign w:val="center"/>
          </w:tcPr>
          <w:p w14:paraId="4F4CF75A">
            <w:pPr>
              <w:keepNext w:val="0"/>
              <w:keepLines w:val="0"/>
              <w:pageBreakBefore w:val="0"/>
              <w:widowControl w:val="0"/>
              <w:suppressLineNumbers w:val="0"/>
              <w:tabs>
                <w:tab w:val="left" w:pos="0"/>
              </w:tabs>
              <w:kinsoku/>
              <w:wordWrap w:val="0"/>
              <w:overflowPunct/>
              <w:topLinePunct/>
              <w:autoSpaceDE/>
              <w:autoSpaceDN/>
              <w:bidi w:val="0"/>
              <w:adjustRightInd w:val="0"/>
              <w:snapToGrid w:val="0"/>
              <w:spacing w:before="0" w:beforeAutospacing="0" w:after="0" w:afterAutospacing="0" w:line="490" w:lineRule="exact"/>
              <w:ind w:left="42" w:leftChars="20" w:right="0" w:firstLine="0" w:firstLineChars="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参选人针对本项目提供的配送方案须包括：①整体配送方案；②配送人员、车辆配置；③配送管理安排、时间安排；④配送的准确性和及时性保障措施等4个方面的内容。</w:t>
            </w:r>
          </w:p>
          <w:p w14:paraId="2ADDAD77">
            <w:pPr>
              <w:keepNext w:val="0"/>
              <w:keepLines w:val="0"/>
              <w:pageBreakBefore w:val="0"/>
              <w:widowControl w:val="0"/>
              <w:suppressLineNumbers w:val="0"/>
              <w:tabs>
                <w:tab w:val="left" w:pos="0"/>
              </w:tabs>
              <w:kinsoku/>
              <w:wordWrap w:val="0"/>
              <w:overflowPunct/>
              <w:topLinePunct/>
              <w:autoSpaceDE/>
              <w:autoSpaceDN/>
              <w:bidi w:val="0"/>
              <w:adjustRightInd w:val="0"/>
              <w:snapToGrid w:val="0"/>
              <w:spacing w:before="0" w:beforeAutospacing="0" w:after="0" w:afterAutospacing="0" w:line="490" w:lineRule="exact"/>
              <w:ind w:left="42" w:leftChars="20" w:right="0" w:firstLine="0" w:firstLineChars="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根据参选人针对上述</w:t>
            </w:r>
            <w:r>
              <w:rPr>
                <w:rFonts w:hint="eastAsia" w:cs="宋体"/>
                <w:snapToGrid w:val="0"/>
                <w:color w:val="auto"/>
                <w:kern w:val="2"/>
                <w:sz w:val="21"/>
                <w:szCs w:val="21"/>
                <w:highlight w:val="none"/>
                <w:u w:val="none"/>
                <w:lang w:val="en-US" w:eastAsia="zh-CN" w:bidi="ar-SA"/>
              </w:rPr>
              <w:t>4</w:t>
            </w:r>
            <w:r>
              <w:rPr>
                <w:rFonts w:hint="eastAsia" w:ascii="宋体" w:hAnsi="宋体" w:eastAsia="宋体" w:cs="宋体"/>
                <w:snapToGrid w:val="0"/>
                <w:color w:val="auto"/>
                <w:kern w:val="2"/>
                <w:sz w:val="21"/>
                <w:szCs w:val="21"/>
                <w:highlight w:val="none"/>
                <w:lang w:val="en-US" w:eastAsia="zh-CN" w:bidi="ar-SA"/>
              </w:rPr>
              <w:t>个方面内容在响应文件中的响应情况进行综合评审：</w:t>
            </w:r>
            <w:r>
              <w:rPr>
                <w:rFonts w:hint="eastAsia" w:ascii="宋体" w:hAnsi="宋体" w:cs="宋体"/>
                <w:snapToGrid w:val="0"/>
                <w:color w:val="auto"/>
                <w:kern w:val="2"/>
                <w:sz w:val="21"/>
                <w:szCs w:val="21"/>
                <w:highlight w:val="none"/>
                <w:lang w:val="en-US" w:eastAsia="zh-CN" w:bidi="ar-SA"/>
              </w:rPr>
              <w:t>全部</w:t>
            </w:r>
            <w:r>
              <w:rPr>
                <w:rFonts w:hint="eastAsia" w:ascii="宋体" w:hAnsi="宋体" w:eastAsia="宋体" w:cs="宋体"/>
                <w:snapToGrid w:val="0"/>
                <w:color w:val="auto"/>
                <w:sz w:val="21"/>
                <w:szCs w:val="21"/>
                <w:highlight w:val="none"/>
              </w:rPr>
              <w:t>内容</w:t>
            </w:r>
            <w:r>
              <w:rPr>
                <w:rFonts w:hint="eastAsia" w:ascii="宋体" w:hAnsi="宋体" w:eastAsia="宋体" w:cs="宋体"/>
                <w:snapToGrid w:val="0"/>
                <w:color w:val="auto"/>
                <w:sz w:val="21"/>
                <w:szCs w:val="21"/>
                <w:highlight w:val="none"/>
                <w:lang w:val="en-US" w:eastAsia="zh-CN"/>
              </w:rPr>
              <w:t>满足要求的得</w:t>
            </w:r>
            <w:r>
              <w:rPr>
                <w:rFonts w:hint="eastAsia" w:ascii="宋体" w:hAnsi="宋体" w:cs="宋体"/>
                <w:snapToGrid w:val="0"/>
                <w:color w:val="auto"/>
                <w:sz w:val="21"/>
                <w:szCs w:val="21"/>
                <w:highlight w:val="none"/>
                <w:lang w:val="en-US" w:eastAsia="zh-CN"/>
              </w:rPr>
              <w:t>32</w:t>
            </w:r>
            <w:r>
              <w:rPr>
                <w:rFonts w:hint="eastAsia" w:ascii="宋体" w:hAnsi="宋体" w:eastAsia="宋体" w:cs="宋体"/>
                <w:snapToGrid w:val="0"/>
                <w:color w:val="auto"/>
                <w:sz w:val="21"/>
                <w:szCs w:val="21"/>
                <w:highlight w:val="none"/>
                <w:lang w:val="en-US" w:eastAsia="zh-CN"/>
              </w:rPr>
              <w:t>分</w:t>
            </w:r>
            <w:r>
              <w:rPr>
                <w:rFonts w:hint="eastAsia" w:ascii="宋体" w:hAnsi="宋体" w:eastAsia="宋体" w:cs="宋体"/>
                <w:snapToGrid w:val="0"/>
                <w:color w:val="auto"/>
                <w:kern w:val="2"/>
                <w:sz w:val="21"/>
                <w:szCs w:val="21"/>
                <w:highlight w:val="none"/>
                <w:lang w:val="en-US" w:eastAsia="zh-CN" w:bidi="ar-SA"/>
              </w:rPr>
              <w:t>，每有一处存在不足的扣</w:t>
            </w:r>
            <w:r>
              <w:rPr>
                <w:rFonts w:hint="eastAsia" w:ascii="宋体" w:hAnsi="宋体" w:cs="宋体"/>
                <w:snapToGrid w:val="0"/>
                <w:color w:val="auto"/>
                <w:kern w:val="2"/>
                <w:sz w:val="21"/>
                <w:szCs w:val="21"/>
                <w:highlight w:val="none"/>
                <w:lang w:val="en-US" w:eastAsia="zh-CN" w:bidi="ar-SA"/>
              </w:rPr>
              <w:t>4</w:t>
            </w:r>
            <w:r>
              <w:rPr>
                <w:rFonts w:hint="eastAsia" w:ascii="宋体" w:hAnsi="宋体" w:eastAsia="宋体" w:cs="宋体"/>
                <w:snapToGrid w:val="0"/>
                <w:color w:val="auto"/>
                <w:kern w:val="2"/>
                <w:sz w:val="21"/>
                <w:szCs w:val="21"/>
                <w:highlight w:val="none"/>
                <w:lang w:val="en-US" w:eastAsia="zh-CN" w:bidi="ar-SA"/>
              </w:rPr>
              <w:t>分</w:t>
            </w:r>
            <w:r>
              <w:rPr>
                <w:rFonts w:hint="eastAsia" w:ascii="宋体" w:hAnsi="宋体" w:cs="宋体"/>
                <w:snapToGrid w:val="0"/>
                <w:color w:val="auto"/>
                <w:kern w:val="2"/>
                <w:sz w:val="21"/>
                <w:szCs w:val="21"/>
                <w:highlight w:val="none"/>
                <w:lang w:val="en-US" w:eastAsia="zh-CN" w:bidi="ar-SA"/>
              </w:rPr>
              <w:t>，</w:t>
            </w:r>
            <w:r>
              <w:rPr>
                <w:rFonts w:hint="eastAsia" w:ascii="宋体" w:hAnsi="宋体" w:eastAsia="宋体" w:cs="宋体"/>
                <w:snapToGrid w:val="0"/>
                <w:color w:val="auto"/>
                <w:kern w:val="2"/>
                <w:sz w:val="21"/>
                <w:szCs w:val="21"/>
                <w:highlight w:val="none"/>
                <w:u w:val="none"/>
                <w:lang w:val="en-US" w:eastAsia="zh-CN" w:bidi="ar-SA"/>
              </w:rPr>
              <w:t>每有一方面内容缺失的该方面内容不得分。</w:t>
            </w:r>
          </w:p>
          <w:p w14:paraId="7A1ACC13">
            <w:pPr>
              <w:keepNext w:val="0"/>
              <w:keepLines w:val="0"/>
              <w:pageBreakBefore w:val="0"/>
              <w:widowControl w:val="0"/>
              <w:suppressLineNumbers w:val="0"/>
              <w:tabs>
                <w:tab w:val="left" w:pos="0"/>
              </w:tabs>
              <w:kinsoku/>
              <w:wordWrap w:val="0"/>
              <w:overflowPunct/>
              <w:topLinePunct/>
              <w:autoSpaceDE/>
              <w:autoSpaceDN/>
              <w:bidi w:val="0"/>
              <w:adjustRightInd w:val="0"/>
              <w:snapToGrid w:val="0"/>
              <w:spacing w:before="0" w:beforeAutospacing="0" w:after="0" w:afterAutospacing="0" w:line="490" w:lineRule="exact"/>
              <w:ind w:left="42" w:leftChars="20" w:right="0" w:firstLine="0" w:firstLineChars="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注：(1)以上内容满足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r>
              <w:rPr>
                <w:rFonts w:hint="eastAsia" w:ascii="宋体" w:hAnsi="宋体" w:eastAsia="宋体" w:cs="宋体"/>
                <w:color w:val="auto"/>
                <w:sz w:val="21"/>
                <w:szCs w:val="21"/>
                <w:highlight w:val="none"/>
                <w:lang w:eastAsia="zh-CN"/>
              </w:rPr>
              <w:t>。</w:t>
            </w:r>
          </w:p>
          <w:p w14:paraId="1343B1FF">
            <w:pPr>
              <w:keepNext w:val="0"/>
              <w:keepLines w:val="0"/>
              <w:pageBreakBefore w:val="0"/>
              <w:widowControl w:val="0"/>
              <w:suppressLineNumbers w:val="0"/>
              <w:tabs>
                <w:tab w:val="left" w:pos="0"/>
              </w:tabs>
              <w:kinsoku/>
              <w:wordWrap w:val="0"/>
              <w:overflowPunct/>
              <w:autoSpaceDE/>
              <w:autoSpaceDN/>
              <w:bidi w:val="0"/>
              <w:adjustRightInd w:val="0"/>
              <w:snapToGrid w:val="0"/>
              <w:spacing w:before="120" w:beforeLines="50" w:beforeAutospacing="0" w:after="0" w:afterAutospacing="0" w:line="400" w:lineRule="exact"/>
              <w:ind w:left="0" w:right="0"/>
              <w:textAlignment w:val="auto"/>
              <w:outlineLvl w:val="9"/>
              <w:rPr>
                <w:rFonts w:hint="default" w:ascii="宋体" w:hAnsi="宋体" w:eastAsia="宋体"/>
                <w:color w:val="auto"/>
                <w:szCs w:val="21"/>
                <w:highlight w:val="none"/>
              </w:rPr>
            </w:pPr>
            <w:r>
              <w:rPr>
                <w:rFonts w:hint="eastAsia" w:ascii="宋体" w:hAnsi="宋体" w:eastAsia="宋体" w:cs="宋体"/>
                <w:snapToGrid w:val="0"/>
                <w:color w:val="auto"/>
                <w:kern w:val="2"/>
                <w:sz w:val="21"/>
                <w:szCs w:val="21"/>
                <w:highlight w:val="none"/>
                <w:lang w:val="en-US" w:eastAsia="zh-CN" w:bidi="ar-SA"/>
              </w:rPr>
              <w:t>(2)存在不足是指①内容生搬硬造，阐述存在逻辑错误，前后矛盾；②</w:t>
            </w:r>
            <w:r>
              <w:rPr>
                <w:rFonts w:hint="eastAsia" w:ascii="宋体" w:hAnsi="宋体" w:eastAsia="宋体" w:cs="宋体"/>
                <w:color w:val="auto"/>
                <w:sz w:val="21"/>
                <w:szCs w:val="21"/>
                <w:highlight w:val="none"/>
              </w:rPr>
              <w:t>涉及内容无重点，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能体现出本项目的特点</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与实际</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rPr>
              <w:t>不完全相符</w:t>
            </w:r>
            <w:r>
              <w:rPr>
                <w:rFonts w:hint="eastAsia" w:ascii="宋体" w:hAnsi="宋体" w:eastAsia="宋体" w:cs="宋体"/>
                <w:color w:val="auto"/>
                <w:sz w:val="21"/>
                <w:szCs w:val="21"/>
                <w:highlight w:val="none"/>
                <w:lang w:eastAsia="zh-CN"/>
              </w:rPr>
              <w:t>；</w:t>
            </w:r>
            <w:r>
              <w:rPr>
                <w:rFonts w:hint="eastAsia" w:ascii="宋体" w:hAnsi="宋体" w:eastAsia="宋体" w:cs="宋体"/>
                <w:snapToGrid w:val="0"/>
                <w:color w:val="auto"/>
                <w:kern w:val="2"/>
                <w:sz w:val="21"/>
                <w:szCs w:val="21"/>
                <w:highlight w:val="none"/>
                <w:lang w:val="en-US" w:eastAsia="zh-CN" w:bidi="ar-SA"/>
              </w:rPr>
              <w:t>③语言错误或存在歧义，项目名称、实施地点、政策、规范标准与本项目不一致等情形)。</w:t>
            </w:r>
          </w:p>
        </w:tc>
        <w:tc>
          <w:tcPr>
            <w:tcW w:w="897" w:type="dxa"/>
            <w:noWrap w:val="0"/>
            <w:vAlign w:val="center"/>
          </w:tcPr>
          <w:p w14:paraId="41D5918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lang w:eastAsia="zh-CN"/>
              </w:rPr>
              <w:t>技术类评分因素</w:t>
            </w:r>
          </w:p>
        </w:tc>
      </w:tr>
      <w:tr w14:paraId="7074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722" w:type="dxa"/>
            <w:noWrap w:val="0"/>
            <w:vAlign w:val="center"/>
          </w:tcPr>
          <w:p w14:paraId="3F76F55A">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firstLine="0" w:firstLineChars="0"/>
              <w:textAlignment w:val="auto"/>
              <w:outlineLvl w:val="9"/>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三</w:t>
            </w:r>
          </w:p>
        </w:tc>
        <w:tc>
          <w:tcPr>
            <w:tcW w:w="856" w:type="dxa"/>
            <w:noWrap w:val="0"/>
            <w:vAlign w:val="center"/>
          </w:tcPr>
          <w:p w14:paraId="29BD6203">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firstLine="0" w:firstLineChars="0"/>
              <w:textAlignment w:val="auto"/>
              <w:outlineLvl w:val="9"/>
              <w:rPr>
                <w:rFonts w:hint="eastAsia" w:ascii="宋体" w:hAnsi="宋体" w:eastAsia="宋体"/>
                <w:color w:val="auto"/>
                <w:szCs w:val="21"/>
                <w:highlight w:val="none"/>
                <w:lang w:eastAsia="zh-CN"/>
              </w:rPr>
            </w:pPr>
            <w:r>
              <w:rPr>
                <w:rFonts w:hint="eastAsia" w:cs="宋体"/>
                <w:b w:val="0"/>
                <w:bCs w:val="0"/>
                <w:color w:val="auto"/>
                <w:sz w:val="21"/>
                <w:szCs w:val="21"/>
                <w:highlight w:val="none"/>
                <w:lang w:val="en-US" w:eastAsia="zh-CN"/>
              </w:rPr>
              <w:t>服务方案24</w:t>
            </w:r>
            <w:r>
              <w:rPr>
                <w:rFonts w:hint="eastAsia" w:ascii="宋体" w:hAnsi="宋体" w:eastAsia="宋体" w:cs="宋体"/>
                <w:b w:val="0"/>
                <w:bCs w:val="0"/>
                <w:color w:val="auto"/>
                <w:sz w:val="21"/>
                <w:szCs w:val="21"/>
                <w:highlight w:val="none"/>
                <w:lang w:val="en-US" w:eastAsia="zh-CN"/>
              </w:rPr>
              <w:t>%</w:t>
            </w:r>
          </w:p>
        </w:tc>
        <w:tc>
          <w:tcPr>
            <w:tcW w:w="820" w:type="dxa"/>
            <w:noWrap w:val="0"/>
            <w:vAlign w:val="center"/>
          </w:tcPr>
          <w:p w14:paraId="3D5EE7B1">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firstLine="0" w:firstLineChars="0"/>
              <w:textAlignment w:val="auto"/>
              <w:outlineLvl w:val="9"/>
              <w:rPr>
                <w:rFonts w:hint="default" w:ascii="宋体" w:hAnsi="宋体"/>
                <w:color w:val="auto"/>
                <w:szCs w:val="21"/>
                <w:highlight w:val="none"/>
                <w:lang w:val="en-US" w:eastAsia="zh-CN"/>
              </w:rPr>
            </w:pPr>
            <w:r>
              <w:rPr>
                <w:rFonts w:hint="eastAsia" w:cs="宋体"/>
                <w:b w:val="0"/>
                <w:bCs w:val="0"/>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分</w:t>
            </w:r>
          </w:p>
        </w:tc>
        <w:tc>
          <w:tcPr>
            <w:tcW w:w="6894" w:type="dxa"/>
            <w:noWrap w:val="0"/>
            <w:vAlign w:val="center"/>
          </w:tcPr>
          <w:p w14:paraId="05607BB7">
            <w:pPr>
              <w:keepNext w:val="0"/>
              <w:keepLines w:val="0"/>
              <w:pageBreakBefore w:val="0"/>
              <w:widowControl w:val="0"/>
              <w:suppressLineNumbers w:val="0"/>
              <w:tabs>
                <w:tab w:val="left" w:pos="0"/>
              </w:tabs>
              <w:kinsoku/>
              <w:wordWrap w:val="0"/>
              <w:overflowPunct/>
              <w:topLinePunct/>
              <w:autoSpaceDE/>
              <w:autoSpaceDN/>
              <w:bidi w:val="0"/>
              <w:adjustRightInd w:val="0"/>
              <w:snapToGrid w:val="0"/>
              <w:spacing w:before="0" w:beforeAutospacing="0" w:after="0" w:afterAutospacing="0" w:line="490" w:lineRule="exact"/>
              <w:ind w:left="42" w:leftChars="20" w:right="0" w:firstLine="0" w:firstLineChars="0"/>
              <w:jc w:val="left"/>
              <w:textAlignment w:val="auto"/>
              <w:rPr>
                <w:rFonts w:hint="default"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参选人针对本项目提</w:t>
            </w:r>
            <w:r>
              <w:rPr>
                <w:rFonts w:hint="eastAsia" w:ascii="宋体" w:hAnsi="宋体" w:eastAsia="宋体" w:cs="宋体"/>
                <w:snapToGrid w:val="0"/>
                <w:color w:val="auto"/>
                <w:sz w:val="21"/>
                <w:szCs w:val="21"/>
                <w:highlight w:val="none"/>
                <w:lang w:val="en-US" w:eastAsia="zh-CN"/>
              </w:rPr>
              <w:t>供的质量保障方案须包括：</w:t>
            </w:r>
            <w:r>
              <w:rPr>
                <w:rFonts w:hint="eastAsia" w:ascii="宋体" w:hAnsi="宋体" w:eastAsia="宋体" w:cs="宋体"/>
                <w:snapToGrid w:val="0"/>
                <w:color w:val="auto"/>
                <w:sz w:val="21"/>
                <w:szCs w:val="21"/>
                <w:highlight w:val="none"/>
                <w:lang w:eastAsia="zh-CN"/>
              </w:rPr>
              <w:t>①</w:t>
            </w:r>
            <w:r>
              <w:rPr>
                <w:rFonts w:hint="eastAsia" w:ascii="宋体" w:hAnsi="宋体" w:eastAsia="宋体" w:cs="宋体"/>
                <w:snapToGrid w:val="0"/>
                <w:color w:val="auto"/>
                <w:sz w:val="21"/>
                <w:szCs w:val="21"/>
                <w:highlight w:val="none"/>
                <w:lang w:val="en-US" w:eastAsia="zh-CN"/>
              </w:rPr>
              <w:t>项目整体服务方案；</w:t>
            </w:r>
            <w:r>
              <w:rPr>
                <w:rFonts w:hint="eastAsia" w:ascii="宋体" w:hAnsi="宋体" w:eastAsia="宋体" w:cs="宋体"/>
                <w:snapToGrid w:val="0"/>
                <w:color w:val="auto"/>
                <w:sz w:val="21"/>
                <w:szCs w:val="21"/>
                <w:highlight w:val="none"/>
                <w:lang w:eastAsia="zh-CN"/>
              </w:rPr>
              <w:t>②</w:t>
            </w:r>
            <w:r>
              <w:rPr>
                <w:rFonts w:hint="eastAsia" w:ascii="宋体" w:hAnsi="宋体" w:eastAsia="宋体" w:cs="宋体"/>
                <w:snapToGrid w:val="0"/>
                <w:color w:val="auto"/>
                <w:sz w:val="21"/>
                <w:szCs w:val="21"/>
                <w:highlight w:val="none"/>
                <w:lang w:val="en-US" w:eastAsia="zh-CN"/>
              </w:rPr>
              <w:t>日常管理制度、内部管理职责分工；</w:t>
            </w:r>
            <w:r>
              <w:rPr>
                <w:rFonts w:hint="eastAsia" w:ascii="宋体" w:hAnsi="宋体" w:eastAsia="宋体" w:cs="宋体"/>
                <w:snapToGrid w:val="0"/>
                <w:color w:val="auto"/>
                <w:sz w:val="21"/>
                <w:szCs w:val="21"/>
                <w:highlight w:val="none"/>
                <w:lang w:eastAsia="zh-CN"/>
              </w:rPr>
              <w:t>③</w:t>
            </w:r>
            <w:r>
              <w:rPr>
                <w:rFonts w:hint="eastAsia" w:ascii="宋体" w:hAnsi="宋体" w:eastAsia="宋体" w:cs="宋体"/>
                <w:snapToGrid w:val="0"/>
                <w:color w:val="auto"/>
                <w:sz w:val="21"/>
                <w:szCs w:val="21"/>
                <w:highlight w:val="none"/>
              </w:rPr>
              <w:t>质量保证</w:t>
            </w:r>
            <w:r>
              <w:rPr>
                <w:rFonts w:hint="eastAsia" w:ascii="宋体" w:hAnsi="宋体" w:eastAsia="宋体" w:cs="宋体"/>
                <w:snapToGrid w:val="0"/>
                <w:color w:val="auto"/>
                <w:sz w:val="21"/>
                <w:szCs w:val="21"/>
                <w:highlight w:val="none"/>
                <w:lang w:val="en-US" w:eastAsia="zh-CN"/>
              </w:rPr>
              <w:t>及</w:t>
            </w:r>
            <w:r>
              <w:rPr>
                <w:rFonts w:hint="eastAsia" w:ascii="宋体" w:hAnsi="宋体" w:eastAsia="宋体" w:cs="宋体"/>
                <w:snapToGrid w:val="0"/>
                <w:color w:val="auto"/>
                <w:sz w:val="21"/>
                <w:szCs w:val="21"/>
                <w:highlight w:val="none"/>
              </w:rPr>
              <w:t>措施</w:t>
            </w:r>
            <w:r>
              <w:rPr>
                <w:rFonts w:hint="eastAsia" w:ascii="宋体" w:hAnsi="宋体" w:eastAsia="宋体" w:cs="宋体"/>
                <w:snapToGrid w:val="0"/>
                <w:color w:val="auto"/>
                <w:sz w:val="21"/>
                <w:szCs w:val="21"/>
                <w:highlight w:val="none"/>
                <w:lang w:eastAsia="zh-CN"/>
              </w:rPr>
              <w:t>；④</w:t>
            </w:r>
            <w:r>
              <w:rPr>
                <w:rFonts w:hint="eastAsia" w:ascii="宋体" w:hAnsi="宋体" w:eastAsia="宋体" w:cs="宋体"/>
                <w:snapToGrid w:val="0"/>
                <w:color w:val="auto"/>
                <w:sz w:val="21"/>
                <w:szCs w:val="21"/>
                <w:highlight w:val="none"/>
              </w:rPr>
              <w:t>应急处置措施</w:t>
            </w:r>
            <w:r>
              <w:rPr>
                <w:rFonts w:hint="eastAsia" w:ascii="宋体" w:hAnsi="宋体" w:eastAsia="宋体" w:cs="宋体"/>
                <w:snapToGrid w:val="0"/>
                <w:color w:val="auto"/>
                <w:sz w:val="21"/>
                <w:szCs w:val="21"/>
                <w:highlight w:val="none"/>
                <w:lang w:val="en-US" w:eastAsia="zh-CN"/>
              </w:rPr>
              <w:t>等4个</w:t>
            </w:r>
            <w:r>
              <w:rPr>
                <w:rFonts w:hint="eastAsia" w:ascii="宋体" w:hAnsi="宋体" w:eastAsia="宋体" w:cs="宋体"/>
                <w:snapToGrid w:val="0"/>
                <w:color w:val="auto"/>
                <w:sz w:val="21"/>
                <w:szCs w:val="21"/>
                <w:highlight w:val="none"/>
              </w:rPr>
              <w:t>方面的内容</w:t>
            </w:r>
            <w:r>
              <w:rPr>
                <w:rFonts w:hint="eastAsia" w:ascii="宋体" w:hAnsi="宋体" w:eastAsia="宋体" w:cs="宋体"/>
                <w:snapToGrid w:val="0"/>
                <w:color w:val="auto"/>
                <w:kern w:val="2"/>
                <w:sz w:val="21"/>
                <w:szCs w:val="21"/>
                <w:highlight w:val="none"/>
                <w:lang w:val="en-US" w:eastAsia="zh-CN" w:bidi="ar-SA"/>
              </w:rPr>
              <w:t>。</w:t>
            </w:r>
          </w:p>
          <w:p w14:paraId="1A8A3B9E">
            <w:pPr>
              <w:keepNext w:val="0"/>
              <w:keepLines w:val="0"/>
              <w:pageBreakBefore w:val="0"/>
              <w:widowControl w:val="0"/>
              <w:suppressLineNumbers w:val="0"/>
              <w:tabs>
                <w:tab w:val="left" w:pos="0"/>
              </w:tabs>
              <w:kinsoku/>
              <w:wordWrap w:val="0"/>
              <w:overflowPunct/>
              <w:topLinePunct/>
              <w:autoSpaceDE/>
              <w:autoSpaceDN/>
              <w:bidi w:val="0"/>
              <w:adjustRightInd w:val="0"/>
              <w:snapToGrid w:val="0"/>
              <w:spacing w:before="0" w:beforeAutospacing="0" w:after="0" w:afterAutospacing="0" w:line="490" w:lineRule="exact"/>
              <w:ind w:left="42" w:leftChars="20" w:right="0" w:firstLine="0" w:firstLineChars="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根据参选人针对上述</w:t>
            </w:r>
            <w:r>
              <w:rPr>
                <w:rFonts w:hint="eastAsia" w:cs="宋体"/>
                <w:snapToGrid w:val="0"/>
                <w:color w:val="auto"/>
                <w:sz w:val="21"/>
                <w:szCs w:val="21"/>
                <w:highlight w:val="none"/>
                <w:lang w:val="en-US" w:eastAsia="zh-CN"/>
              </w:rPr>
              <w:t>4</w:t>
            </w:r>
            <w:r>
              <w:rPr>
                <w:rFonts w:hint="eastAsia" w:ascii="宋体" w:hAnsi="宋体" w:eastAsia="宋体" w:cs="宋体"/>
                <w:snapToGrid w:val="0"/>
                <w:color w:val="auto"/>
                <w:kern w:val="2"/>
                <w:sz w:val="21"/>
                <w:szCs w:val="21"/>
                <w:highlight w:val="none"/>
                <w:lang w:val="en-US" w:eastAsia="zh-CN" w:bidi="ar-SA"/>
              </w:rPr>
              <w:t>个方面内容在响应文件中的响应情况进行综合评审：</w:t>
            </w:r>
            <w:r>
              <w:rPr>
                <w:rFonts w:hint="eastAsia" w:ascii="宋体" w:hAnsi="宋体" w:cs="宋体"/>
                <w:snapToGrid w:val="0"/>
                <w:color w:val="auto"/>
                <w:kern w:val="2"/>
                <w:sz w:val="21"/>
                <w:szCs w:val="21"/>
                <w:highlight w:val="none"/>
                <w:lang w:val="en-US" w:eastAsia="zh-CN" w:bidi="ar-SA"/>
              </w:rPr>
              <w:t>全部</w:t>
            </w:r>
            <w:r>
              <w:rPr>
                <w:rFonts w:hint="eastAsia" w:ascii="宋体" w:hAnsi="宋体" w:eastAsia="宋体" w:cs="宋体"/>
                <w:snapToGrid w:val="0"/>
                <w:color w:val="auto"/>
                <w:sz w:val="21"/>
                <w:szCs w:val="21"/>
                <w:highlight w:val="none"/>
              </w:rPr>
              <w:t>内容</w:t>
            </w:r>
            <w:r>
              <w:rPr>
                <w:rFonts w:hint="eastAsia" w:ascii="宋体" w:hAnsi="宋体" w:eastAsia="宋体" w:cs="宋体"/>
                <w:snapToGrid w:val="0"/>
                <w:color w:val="auto"/>
                <w:sz w:val="21"/>
                <w:szCs w:val="21"/>
                <w:highlight w:val="none"/>
                <w:lang w:val="en-US" w:eastAsia="zh-CN"/>
              </w:rPr>
              <w:t>满足要求的得</w:t>
            </w:r>
            <w:r>
              <w:rPr>
                <w:rFonts w:hint="eastAsia" w:ascii="宋体" w:hAnsi="宋体" w:cs="宋体"/>
                <w:snapToGrid w:val="0"/>
                <w:color w:val="auto"/>
                <w:sz w:val="21"/>
                <w:szCs w:val="21"/>
                <w:highlight w:val="none"/>
                <w:lang w:val="en-US" w:eastAsia="zh-CN"/>
              </w:rPr>
              <w:t>24</w:t>
            </w:r>
            <w:r>
              <w:rPr>
                <w:rFonts w:hint="eastAsia" w:ascii="宋体" w:hAnsi="宋体" w:eastAsia="宋体" w:cs="宋体"/>
                <w:snapToGrid w:val="0"/>
                <w:color w:val="auto"/>
                <w:sz w:val="21"/>
                <w:szCs w:val="21"/>
                <w:highlight w:val="none"/>
                <w:lang w:val="en-US" w:eastAsia="zh-CN"/>
              </w:rPr>
              <w:t>分</w:t>
            </w:r>
            <w:r>
              <w:rPr>
                <w:rFonts w:hint="eastAsia" w:ascii="宋体" w:hAnsi="宋体" w:eastAsia="宋体" w:cs="宋体"/>
                <w:snapToGrid w:val="0"/>
                <w:color w:val="auto"/>
                <w:kern w:val="2"/>
                <w:sz w:val="21"/>
                <w:szCs w:val="21"/>
                <w:highlight w:val="none"/>
                <w:lang w:val="en-US" w:eastAsia="zh-CN" w:bidi="ar-SA"/>
              </w:rPr>
              <w:t>，每有一处存在不足的扣</w:t>
            </w:r>
            <w:r>
              <w:rPr>
                <w:rFonts w:hint="eastAsia" w:ascii="宋体" w:hAnsi="宋体" w:cs="宋体"/>
                <w:snapToGrid w:val="0"/>
                <w:color w:val="auto"/>
                <w:kern w:val="2"/>
                <w:sz w:val="21"/>
                <w:szCs w:val="21"/>
                <w:highlight w:val="none"/>
                <w:lang w:val="en-US" w:eastAsia="zh-CN" w:bidi="ar-SA"/>
              </w:rPr>
              <w:t>3</w:t>
            </w:r>
            <w:r>
              <w:rPr>
                <w:rFonts w:hint="eastAsia" w:ascii="宋体" w:hAnsi="宋体" w:eastAsia="宋体" w:cs="宋体"/>
                <w:snapToGrid w:val="0"/>
                <w:color w:val="auto"/>
                <w:kern w:val="2"/>
                <w:sz w:val="21"/>
                <w:szCs w:val="21"/>
                <w:highlight w:val="none"/>
                <w:lang w:val="en-US" w:eastAsia="zh-CN" w:bidi="ar-SA"/>
              </w:rPr>
              <w:t>分</w:t>
            </w:r>
            <w:r>
              <w:rPr>
                <w:rFonts w:hint="eastAsia" w:ascii="宋体" w:hAnsi="宋体" w:cs="宋体"/>
                <w:snapToGrid w:val="0"/>
                <w:color w:val="auto"/>
                <w:kern w:val="2"/>
                <w:sz w:val="21"/>
                <w:szCs w:val="21"/>
                <w:highlight w:val="none"/>
                <w:lang w:val="en-US" w:eastAsia="zh-CN" w:bidi="ar-SA"/>
              </w:rPr>
              <w:t>，</w:t>
            </w:r>
            <w:r>
              <w:rPr>
                <w:rFonts w:hint="eastAsia" w:ascii="宋体" w:hAnsi="宋体" w:eastAsia="宋体" w:cs="宋体"/>
                <w:snapToGrid w:val="0"/>
                <w:color w:val="auto"/>
                <w:kern w:val="2"/>
                <w:sz w:val="21"/>
                <w:szCs w:val="21"/>
                <w:highlight w:val="none"/>
                <w:u w:val="none"/>
                <w:lang w:val="en-US" w:eastAsia="zh-CN" w:bidi="ar-SA"/>
              </w:rPr>
              <w:t>每有一方面内容缺失的该方面内容不得分。</w:t>
            </w:r>
          </w:p>
          <w:p w14:paraId="75B31081">
            <w:pPr>
              <w:keepNext w:val="0"/>
              <w:keepLines w:val="0"/>
              <w:pageBreakBefore w:val="0"/>
              <w:widowControl w:val="0"/>
              <w:suppressLineNumbers w:val="0"/>
              <w:tabs>
                <w:tab w:val="left" w:pos="0"/>
              </w:tabs>
              <w:kinsoku/>
              <w:wordWrap w:val="0"/>
              <w:overflowPunct/>
              <w:topLinePunct/>
              <w:autoSpaceDE/>
              <w:autoSpaceDN/>
              <w:bidi w:val="0"/>
              <w:adjustRightInd w:val="0"/>
              <w:snapToGrid w:val="0"/>
              <w:spacing w:before="0" w:beforeAutospacing="0" w:after="0" w:afterAutospacing="0" w:line="490" w:lineRule="exact"/>
              <w:ind w:left="42" w:leftChars="20" w:right="0" w:firstLine="0" w:firstLineChars="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注：(1)以上内容满足要求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r>
              <w:rPr>
                <w:rFonts w:hint="eastAsia" w:ascii="宋体" w:hAnsi="宋体" w:eastAsia="宋体" w:cs="宋体"/>
                <w:color w:val="auto"/>
                <w:sz w:val="21"/>
                <w:szCs w:val="21"/>
                <w:highlight w:val="none"/>
                <w:lang w:eastAsia="zh-CN"/>
              </w:rPr>
              <w:t>。</w:t>
            </w:r>
          </w:p>
          <w:p w14:paraId="76174C95">
            <w:pPr>
              <w:keepNext w:val="0"/>
              <w:keepLines w:val="0"/>
              <w:pageBreakBefore w:val="0"/>
              <w:widowControl w:val="0"/>
              <w:suppressLineNumbers w:val="0"/>
              <w:tabs>
                <w:tab w:val="left" w:pos="0"/>
              </w:tabs>
              <w:kinsoku/>
              <w:wordWrap w:val="0"/>
              <w:overflowPunct/>
              <w:autoSpaceDE/>
              <w:autoSpaceDN/>
              <w:bidi w:val="0"/>
              <w:adjustRightInd w:val="0"/>
              <w:snapToGrid w:val="0"/>
              <w:spacing w:before="120" w:beforeLines="50" w:beforeAutospacing="0" w:after="0" w:afterAutospacing="0" w:line="400" w:lineRule="exact"/>
              <w:ind w:left="0" w:right="0" w:firstLine="0" w:firstLineChars="0"/>
              <w:textAlignment w:val="auto"/>
              <w:outlineLvl w:val="9"/>
              <w:rPr>
                <w:rFonts w:hint="eastAsia" w:ascii="宋体" w:hAnsi="宋体" w:eastAsia="宋体" w:cs="Times New Roman"/>
                <w:color w:val="auto"/>
                <w:szCs w:val="21"/>
                <w:highlight w:val="none"/>
                <w:lang w:eastAsia="zh-CN"/>
              </w:rPr>
            </w:pPr>
            <w:r>
              <w:rPr>
                <w:rFonts w:hint="eastAsia" w:ascii="宋体" w:hAnsi="宋体" w:eastAsia="宋体" w:cs="宋体"/>
                <w:snapToGrid w:val="0"/>
                <w:color w:val="auto"/>
                <w:kern w:val="2"/>
                <w:sz w:val="21"/>
                <w:szCs w:val="21"/>
                <w:highlight w:val="none"/>
                <w:lang w:val="en-US" w:eastAsia="zh-CN" w:bidi="ar-SA"/>
              </w:rPr>
              <w:t>(2)存在不足是指①内容生搬硬造，阐述存在逻辑错误，前后矛盾；②</w:t>
            </w:r>
            <w:r>
              <w:rPr>
                <w:rFonts w:hint="eastAsia" w:ascii="宋体" w:hAnsi="宋体" w:eastAsia="宋体" w:cs="宋体"/>
                <w:color w:val="auto"/>
                <w:sz w:val="21"/>
                <w:szCs w:val="21"/>
                <w:highlight w:val="none"/>
              </w:rPr>
              <w:t>涉及内容无重点，</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能体现出本项目的特点</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与实际</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rPr>
              <w:t>不完全相符</w:t>
            </w:r>
            <w:r>
              <w:rPr>
                <w:rFonts w:hint="eastAsia" w:ascii="宋体" w:hAnsi="宋体" w:eastAsia="宋体" w:cs="宋体"/>
                <w:color w:val="auto"/>
                <w:sz w:val="21"/>
                <w:szCs w:val="21"/>
                <w:highlight w:val="none"/>
                <w:lang w:eastAsia="zh-CN"/>
              </w:rPr>
              <w:t>；</w:t>
            </w:r>
            <w:r>
              <w:rPr>
                <w:rFonts w:hint="eastAsia" w:ascii="宋体" w:hAnsi="宋体" w:eastAsia="宋体" w:cs="宋体"/>
                <w:snapToGrid w:val="0"/>
                <w:color w:val="auto"/>
                <w:kern w:val="2"/>
                <w:sz w:val="21"/>
                <w:szCs w:val="21"/>
                <w:highlight w:val="none"/>
                <w:lang w:val="en-US" w:eastAsia="zh-CN" w:bidi="ar-SA"/>
              </w:rPr>
              <w:t>③语言错误或存在歧义，项目名称、实施地点、政策、规范标准与本项目不一致等情形)。</w:t>
            </w:r>
          </w:p>
        </w:tc>
        <w:tc>
          <w:tcPr>
            <w:tcW w:w="897" w:type="dxa"/>
            <w:noWrap w:val="0"/>
            <w:vAlign w:val="center"/>
          </w:tcPr>
          <w:p w14:paraId="7A25C90B">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技术类评分因素</w:t>
            </w:r>
          </w:p>
        </w:tc>
      </w:tr>
      <w:tr w14:paraId="1D8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22" w:type="dxa"/>
            <w:noWrap w:val="0"/>
            <w:vAlign w:val="center"/>
          </w:tcPr>
          <w:p w14:paraId="6CF82C5F">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textAlignment w:val="auto"/>
              <w:outlineLvl w:val="9"/>
              <w:rPr>
                <w:rFonts w:hint="default" w:cs="宋体"/>
                <w:color w:val="auto"/>
                <w:sz w:val="21"/>
                <w:szCs w:val="21"/>
                <w:highlight w:val="none"/>
                <w:lang w:val="en-US" w:eastAsia="zh-CN"/>
              </w:rPr>
            </w:pPr>
            <w:r>
              <w:rPr>
                <w:rFonts w:hint="eastAsia" w:cs="宋体"/>
                <w:color w:val="auto"/>
                <w:sz w:val="21"/>
                <w:szCs w:val="21"/>
                <w:highlight w:val="none"/>
                <w:lang w:val="en-US" w:eastAsia="zh-CN"/>
              </w:rPr>
              <w:t>四</w:t>
            </w:r>
          </w:p>
        </w:tc>
        <w:tc>
          <w:tcPr>
            <w:tcW w:w="856" w:type="dxa"/>
            <w:noWrap w:val="0"/>
            <w:vAlign w:val="center"/>
          </w:tcPr>
          <w:p w14:paraId="67D6D242">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履约经验</w:t>
            </w:r>
          </w:p>
          <w:p w14:paraId="4E85E1FD">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textAlignment w:val="auto"/>
              <w:outlineLvl w:val="9"/>
              <w:rPr>
                <w:rFonts w:hint="eastAsia" w:cs="宋体"/>
                <w:b w:val="0"/>
                <w:bCs w:val="0"/>
                <w:color w:val="auto"/>
                <w:sz w:val="21"/>
                <w:szCs w:val="21"/>
                <w:highlight w:val="none"/>
                <w:lang w:val="en-US" w:eastAsia="zh-CN"/>
              </w:rPr>
            </w:pP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w:t>
            </w:r>
          </w:p>
        </w:tc>
        <w:tc>
          <w:tcPr>
            <w:tcW w:w="820" w:type="dxa"/>
            <w:noWrap w:val="0"/>
            <w:vAlign w:val="center"/>
          </w:tcPr>
          <w:p w14:paraId="344AF1B5">
            <w:pPr>
              <w:pStyle w:val="14"/>
              <w:keepNext w:val="0"/>
              <w:keepLines w:val="0"/>
              <w:pageBreakBefore w:val="0"/>
              <w:widowControl w:val="0"/>
              <w:suppressLineNumbers w:val="0"/>
              <w:tabs>
                <w:tab w:val="left" w:pos="0"/>
              </w:tabs>
              <w:kinsoku/>
              <w:overflowPunct/>
              <w:autoSpaceDE/>
              <w:autoSpaceDN/>
              <w:bidi w:val="0"/>
              <w:adjustRightInd w:val="0"/>
              <w:snapToGrid w:val="0"/>
              <w:spacing w:before="0" w:beforeAutospacing="0" w:after="0" w:afterAutospacing="0"/>
              <w:ind w:left="0" w:right="0"/>
              <w:textAlignment w:val="auto"/>
              <w:outlineLvl w:val="9"/>
              <w:rPr>
                <w:rFonts w:hint="eastAsia" w:cs="宋体"/>
                <w:b w:val="0"/>
                <w:bCs w:val="0"/>
                <w:color w:val="auto"/>
                <w:sz w:val="21"/>
                <w:szCs w:val="21"/>
                <w:highlight w:val="none"/>
                <w:lang w:val="en-US" w:eastAsia="zh-CN"/>
              </w:rPr>
            </w:pP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分</w:t>
            </w:r>
          </w:p>
        </w:tc>
        <w:tc>
          <w:tcPr>
            <w:tcW w:w="6894" w:type="dxa"/>
            <w:noWrap w:val="0"/>
            <w:vAlign w:val="center"/>
          </w:tcPr>
          <w:p w14:paraId="340A2BF2">
            <w:pPr>
              <w:keepNext w:val="0"/>
              <w:keepLines w:val="0"/>
              <w:pageBreakBefore w:val="0"/>
              <w:widowControl w:val="0"/>
              <w:suppressLineNumbers w:val="0"/>
              <w:tabs>
                <w:tab w:val="left" w:pos="0"/>
              </w:tabs>
              <w:kinsoku/>
              <w:wordWrap w:val="0"/>
              <w:overflowPunct/>
              <w:autoSpaceDE/>
              <w:autoSpaceDN/>
              <w:bidi w:val="0"/>
              <w:adjustRightInd w:val="0"/>
              <w:snapToGrid w:val="0"/>
              <w:spacing w:before="120" w:beforeLines="50" w:beforeAutospacing="0" w:after="0" w:afterAutospacing="0" w:line="400" w:lineRule="exact"/>
              <w:ind w:left="0" w:right="0" w:firstLine="0" w:firstLineChars="0"/>
              <w:textAlignment w:val="auto"/>
              <w:outlineLvl w:val="9"/>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2023年1月1日至递交报价文件截止日，参选人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类似业绩</w:t>
            </w:r>
            <w:r>
              <w:rPr>
                <w:rFonts w:hint="eastAsia" w:ascii="宋体" w:hAnsi="宋体" w:eastAsia="宋体" w:cs="宋体"/>
                <w:color w:val="auto"/>
                <w:sz w:val="21"/>
                <w:szCs w:val="21"/>
                <w:highlight w:val="none"/>
              </w:rPr>
              <w:t>一个得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每增加1个得4分，</w:t>
            </w:r>
            <w:r>
              <w:rPr>
                <w:rFonts w:hint="eastAsia" w:ascii="宋体" w:hAnsi="宋体" w:eastAsia="宋体" w:cs="宋体"/>
                <w:color w:val="auto"/>
                <w:sz w:val="21"/>
                <w:szCs w:val="21"/>
                <w:highlight w:val="none"/>
              </w:rPr>
              <w:t>最</w:t>
            </w:r>
            <w:r>
              <w:rPr>
                <w:rFonts w:hint="eastAsia" w:ascii="宋体" w:hAnsi="宋体" w:eastAsia="宋体" w:cs="宋体"/>
                <w:color w:val="auto"/>
                <w:sz w:val="21"/>
                <w:szCs w:val="21"/>
                <w:highlight w:val="none"/>
                <w:lang w:val="en-US" w:eastAsia="zh-Hans"/>
              </w:rPr>
              <w:t>多</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snapToGrid w:val="0"/>
                <w:color w:val="auto"/>
                <w:kern w:val="2"/>
                <w:sz w:val="21"/>
                <w:szCs w:val="21"/>
                <w:highlight w:val="none"/>
                <w:lang w:val="en-US" w:eastAsia="zh-CN" w:bidi="ar-SA"/>
              </w:rPr>
              <w:t>。</w:t>
            </w:r>
          </w:p>
          <w:p w14:paraId="7C98BEB5">
            <w:pPr>
              <w:keepNext w:val="0"/>
              <w:keepLines w:val="0"/>
              <w:pageBreakBefore w:val="0"/>
              <w:widowControl w:val="0"/>
              <w:suppressLineNumbers w:val="0"/>
              <w:tabs>
                <w:tab w:val="left" w:pos="0"/>
              </w:tabs>
              <w:kinsoku/>
              <w:wordWrap w:val="0"/>
              <w:overflowPunct/>
              <w:autoSpaceDE/>
              <w:autoSpaceDN/>
              <w:bidi w:val="0"/>
              <w:adjustRightInd w:val="0"/>
              <w:snapToGrid w:val="0"/>
              <w:spacing w:before="120" w:beforeLines="50" w:beforeAutospacing="0" w:after="0" w:afterAutospacing="0" w:line="400" w:lineRule="exact"/>
              <w:ind w:left="0" w:right="0" w:firstLine="0" w:firstLineChars="0"/>
              <w:textAlignment w:val="auto"/>
              <w:outlineLvl w:val="9"/>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注：以</w:t>
            </w:r>
            <w:r>
              <w:rPr>
                <w:rFonts w:hint="eastAsia" w:ascii="宋体" w:hAnsi="宋体" w:eastAsia="宋体" w:cs="宋体"/>
                <w:snapToGrid w:val="0"/>
                <w:color w:val="auto"/>
                <w:kern w:val="2"/>
                <w:sz w:val="21"/>
                <w:szCs w:val="21"/>
                <w:highlight w:val="none"/>
                <w:lang w:val="zh-CN" w:eastAsia="zh-CN" w:bidi="ar-SA"/>
              </w:rPr>
              <w:t>合同</w:t>
            </w:r>
            <w:r>
              <w:rPr>
                <w:rFonts w:hint="eastAsia" w:ascii="宋体" w:hAnsi="宋体" w:eastAsia="宋体" w:cs="宋体"/>
                <w:snapToGrid w:val="0"/>
                <w:color w:val="auto"/>
                <w:kern w:val="2"/>
                <w:sz w:val="21"/>
                <w:szCs w:val="21"/>
                <w:highlight w:val="none"/>
                <w:lang w:val="en-US" w:eastAsia="zh-CN" w:bidi="ar-SA"/>
              </w:rPr>
              <w:t>签订时间</w:t>
            </w:r>
            <w:r>
              <w:rPr>
                <w:rFonts w:hint="eastAsia" w:ascii="宋体" w:hAnsi="宋体" w:eastAsia="宋体" w:cs="宋体"/>
                <w:snapToGrid w:val="0"/>
                <w:color w:val="auto"/>
                <w:kern w:val="2"/>
                <w:sz w:val="21"/>
                <w:szCs w:val="21"/>
                <w:highlight w:val="none"/>
                <w:lang w:val="zh-CN" w:eastAsia="zh-CN" w:bidi="ar-SA"/>
              </w:rPr>
              <w:t>为准</w:t>
            </w:r>
            <w:r>
              <w:rPr>
                <w:rFonts w:hint="eastAsia" w:ascii="宋体" w:hAnsi="宋体" w:eastAsia="宋体" w:cs="宋体"/>
                <w:snapToGrid w:val="0"/>
                <w:color w:val="auto"/>
                <w:kern w:val="2"/>
                <w:sz w:val="21"/>
                <w:szCs w:val="21"/>
                <w:highlight w:val="none"/>
                <w:lang w:val="en-US" w:eastAsia="zh-CN" w:bidi="ar-SA"/>
              </w:rPr>
              <w:t xml:space="preserve">，提供合同复印件并加盖供应商公章。      </w:t>
            </w:r>
          </w:p>
        </w:tc>
        <w:tc>
          <w:tcPr>
            <w:tcW w:w="897" w:type="dxa"/>
            <w:noWrap w:val="0"/>
            <w:vAlign w:val="center"/>
          </w:tcPr>
          <w:p w14:paraId="7E6730CB">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共同评分因素</w:t>
            </w:r>
          </w:p>
        </w:tc>
      </w:tr>
    </w:tbl>
    <w:p w14:paraId="51256C6E">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29FB2C2E">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6DAD1BD6">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1A16981B">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11AB346C">
      <w:pPr>
        <w:keepNext w:val="0"/>
        <w:keepLines w:val="0"/>
        <w:pageBreakBefore w:val="0"/>
        <w:widowControl/>
        <w:kinsoku/>
        <w:wordWrap/>
        <w:overflowPunct/>
        <w:topLinePunct w:val="0"/>
        <w:autoSpaceDE/>
        <w:autoSpaceDN/>
        <w:bidi w:val="0"/>
        <w:adjustRightInd/>
        <w:snapToGrid/>
        <w:spacing w:line="700" w:lineRule="exact"/>
        <w:ind w:right="0" w:rightChars="0"/>
        <w:jc w:val="both"/>
        <w:textAlignment w:val="auto"/>
        <w:outlineLvl w:val="5"/>
        <w:rPr>
          <w:rFonts w:hint="eastAsia" w:ascii="宋体" w:hAnsi="宋体" w:eastAsia="宋体" w:cs="宋体"/>
          <w:color w:val="auto"/>
          <w:sz w:val="52"/>
          <w:szCs w:val="52"/>
          <w:highlight w:val="none"/>
          <w:lang w:val="en-US" w:eastAsia="zh-CN"/>
        </w:rPr>
      </w:pPr>
    </w:p>
    <w:p w14:paraId="7A45919E">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eastAsia" w:ascii="宋体" w:hAnsi="宋体" w:eastAsia="宋体" w:cs="宋体"/>
          <w:color w:val="auto"/>
          <w:sz w:val="52"/>
          <w:szCs w:val="52"/>
          <w:highlight w:val="none"/>
          <w:lang w:val="en-US" w:eastAsia="zh-CN"/>
        </w:rPr>
      </w:pPr>
      <w:r>
        <w:rPr>
          <w:rFonts w:hint="eastAsia" w:ascii="宋体" w:hAnsi="宋体" w:eastAsia="宋体" w:cs="宋体"/>
          <w:color w:val="auto"/>
          <w:sz w:val="28"/>
          <w:szCs w:val="28"/>
          <w:highlight w:val="none"/>
          <w:lang w:val="en-US" w:eastAsia="zh-CN"/>
        </w:rPr>
        <w:t>附件3</w:t>
      </w:r>
    </w:p>
    <w:p w14:paraId="1EF1367A">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lang w:val="en-US" w:eastAsia="zh-CN"/>
        </w:rPr>
        <w:t>成都市温江区疾病预防控制中心</w:t>
      </w:r>
    </w:p>
    <w:p w14:paraId="5AA9FD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2026年无物业管理小区病媒生物防制药械采购项目</w:t>
      </w:r>
    </w:p>
    <w:p w14:paraId="08DEA303">
      <w:pPr>
        <w:keepNext w:val="0"/>
        <w:keepLines w:val="0"/>
        <w:pageBreakBefore w:val="0"/>
        <w:widowControl/>
        <w:kinsoku/>
        <w:wordWrap/>
        <w:overflowPunct/>
        <w:topLinePunct w:val="0"/>
        <w:autoSpaceDE/>
        <w:autoSpaceDN/>
        <w:bidi w:val="0"/>
        <w:adjustRightInd/>
        <w:snapToGrid/>
        <w:spacing w:line="1200" w:lineRule="exact"/>
        <w:ind w:right="0" w:rightChars="0"/>
        <w:jc w:val="both"/>
        <w:textAlignment w:val="auto"/>
        <w:outlineLvl w:val="5"/>
        <w:rPr>
          <w:rFonts w:hint="eastAsia" w:ascii="宋体" w:hAnsi="宋体" w:eastAsia="宋体" w:cs="宋体"/>
          <w:color w:val="auto"/>
          <w:sz w:val="96"/>
          <w:szCs w:val="96"/>
          <w:highlight w:val="none"/>
          <w:lang w:val="en-US" w:eastAsia="zh-CN"/>
        </w:rPr>
      </w:pPr>
    </w:p>
    <w:p w14:paraId="6E0AB748">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p>
    <w:p w14:paraId="31747A9A">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r>
        <w:rPr>
          <w:rFonts w:hint="eastAsia" w:ascii="宋体" w:hAnsi="宋体" w:eastAsia="宋体" w:cs="宋体"/>
          <w:b w:val="0"/>
          <w:bCs w:val="0"/>
          <w:color w:val="auto"/>
          <w:sz w:val="96"/>
          <w:szCs w:val="96"/>
          <w:highlight w:val="none"/>
          <w:lang w:val="en-US" w:eastAsia="zh-CN"/>
        </w:rPr>
        <w:t>报</w:t>
      </w:r>
    </w:p>
    <w:p w14:paraId="42A71F26">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r>
        <w:rPr>
          <w:rFonts w:hint="eastAsia" w:ascii="宋体" w:hAnsi="宋体" w:eastAsia="宋体" w:cs="宋体"/>
          <w:b w:val="0"/>
          <w:bCs w:val="0"/>
          <w:color w:val="auto"/>
          <w:sz w:val="96"/>
          <w:szCs w:val="96"/>
          <w:highlight w:val="none"/>
          <w:lang w:val="en-US" w:eastAsia="zh-CN"/>
        </w:rPr>
        <w:t>价</w:t>
      </w:r>
    </w:p>
    <w:p w14:paraId="1402D0FF">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r>
        <w:rPr>
          <w:rFonts w:hint="eastAsia" w:ascii="宋体" w:hAnsi="宋体" w:eastAsia="宋体" w:cs="宋体"/>
          <w:b w:val="0"/>
          <w:bCs w:val="0"/>
          <w:color w:val="auto"/>
          <w:sz w:val="96"/>
          <w:szCs w:val="96"/>
          <w:highlight w:val="none"/>
          <w:lang w:val="en-US" w:eastAsia="zh-CN"/>
        </w:rPr>
        <w:t>文</w:t>
      </w:r>
    </w:p>
    <w:p w14:paraId="1271C076">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r>
        <w:rPr>
          <w:rFonts w:hint="eastAsia" w:ascii="宋体" w:hAnsi="宋体" w:eastAsia="宋体" w:cs="宋体"/>
          <w:b w:val="0"/>
          <w:bCs w:val="0"/>
          <w:color w:val="auto"/>
          <w:sz w:val="96"/>
          <w:szCs w:val="96"/>
          <w:highlight w:val="none"/>
          <w:lang w:val="en-US" w:eastAsia="zh-CN"/>
        </w:rPr>
        <w:t>件</w:t>
      </w:r>
    </w:p>
    <w:p w14:paraId="6AA24736">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color w:val="auto"/>
          <w:sz w:val="96"/>
          <w:szCs w:val="96"/>
          <w:highlight w:val="none"/>
          <w:lang w:val="en-US" w:eastAsia="zh-CN"/>
        </w:rPr>
      </w:pPr>
    </w:p>
    <w:p w14:paraId="517A7411">
      <w:pPr>
        <w:keepNext w:val="0"/>
        <w:keepLines w:val="0"/>
        <w:pageBreakBefore w:val="0"/>
        <w:widowControl/>
        <w:kinsoku/>
        <w:wordWrap/>
        <w:overflowPunct/>
        <w:topLinePunct w:val="0"/>
        <w:autoSpaceDE/>
        <w:autoSpaceDN/>
        <w:bidi w:val="0"/>
        <w:adjustRightInd/>
        <w:snapToGrid/>
        <w:spacing w:line="1200" w:lineRule="exact"/>
        <w:ind w:right="0" w:rightChars="0"/>
        <w:jc w:val="both"/>
        <w:textAlignment w:val="auto"/>
        <w:outlineLvl w:val="5"/>
        <w:rPr>
          <w:rFonts w:hint="eastAsia" w:ascii="宋体" w:hAnsi="宋体" w:eastAsia="宋体" w:cs="宋体"/>
          <w:color w:val="auto"/>
          <w:sz w:val="96"/>
          <w:szCs w:val="96"/>
          <w:highlight w:val="none"/>
          <w:lang w:val="en-US" w:eastAsia="zh-CN"/>
        </w:rPr>
      </w:pPr>
    </w:p>
    <w:p w14:paraId="3A178110">
      <w:pPr>
        <w:keepNext w:val="0"/>
        <w:keepLines w:val="0"/>
        <w:pageBreakBefore w:val="0"/>
        <w:widowControl/>
        <w:kinsoku/>
        <w:wordWrap/>
        <w:overflowPunct/>
        <w:topLinePunct w:val="0"/>
        <w:autoSpaceDE/>
        <w:autoSpaceDN/>
        <w:bidi w:val="0"/>
        <w:adjustRightInd/>
        <w:snapToGrid/>
        <w:spacing w:line="700" w:lineRule="exact"/>
        <w:ind w:left="0" w:right="0" w:rightChars="0"/>
        <w:jc w:val="center"/>
        <w:textAlignment w:val="auto"/>
        <w:outlineLvl w:val="5"/>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参选人名称：  XXX     (加盖公章）</w:t>
      </w:r>
    </w:p>
    <w:p w14:paraId="3496C909">
      <w:pPr>
        <w:keepNext w:val="0"/>
        <w:keepLines w:val="0"/>
        <w:pageBreakBefore w:val="0"/>
        <w:widowControl/>
        <w:kinsoku/>
        <w:wordWrap/>
        <w:overflowPunct/>
        <w:topLinePunct w:val="0"/>
        <w:autoSpaceDE/>
        <w:autoSpaceDN/>
        <w:bidi w:val="0"/>
        <w:adjustRightInd/>
        <w:snapToGrid/>
        <w:spacing w:line="700" w:lineRule="exact"/>
        <w:ind w:left="0" w:right="0" w:rightChars="0"/>
        <w:jc w:val="center"/>
        <w:textAlignment w:val="auto"/>
        <w:outlineLvl w:val="5"/>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2026年XX月XX日</w:t>
      </w:r>
    </w:p>
    <w:p w14:paraId="57F2B9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一、报价表</w:t>
      </w:r>
    </w:p>
    <w:p w14:paraId="6DF9D542">
      <w:pPr>
        <w:keepNext w:val="0"/>
        <w:keepLines w:val="0"/>
        <w:pageBreakBefore w:val="0"/>
        <w:widowControl/>
        <w:numPr>
          <w:ilvl w:val="0"/>
          <w:numId w:val="0"/>
        </w:numPr>
        <w:kinsoku/>
        <w:wordWrap/>
        <w:overflowPunct/>
        <w:topLinePunct w:val="0"/>
        <w:autoSpaceDE/>
        <w:autoSpaceDN/>
        <w:bidi w:val="0"/>
        <w:adjustRightInd/>
        <w:snapToGrid/>
        <w:spacing w:line="480" w:lineRule="exact"/>
        <w:ind w:left="560" w:leftChars="0" w:right="0" w:rightChars="0" w:hanging="560" w:hangingChars="200"/>
        <w:jc w:val="both"/>
        <w:textAlignment w:val="auto"/>
        <w:outlineLvl w:val="5"/>
        <w:rPr>
          <w:rFonts w:hint="eastAsia" w:ascii="宋体" w:hAnsi="宋体" w:eastAsia="宋体" w:cs="宋体"/>
          <w:b w:val="0"/>
          <w:bCs w:val="0"/>
          <w:color w:val="auto"/>
          <w:sz w:val="28"/>
          <w:szCs w:val="28"/>
          <w:highlight w:val="none"/>
          <w:lang w:val="en-US" w:eastAsia="zh-CN"/>
        </w:rPr>
      </w:pPr>
    </w:p>
    <w:p w14:paraId="33DD8ACD">
      <w:pPr>
        <w:keepNext w:val="0"/>
        <w:keepLines w:val="0"/>
        <w:pageBreakBefore w:val="0"/>
        <w:widowControl/>
        <w:numPr>
          <w:ilvl w:val="0"/>
          <w:numId w:val="0"/>
        </w:numPr>
        <w:kinsoku/>
        <w:wordWrap/>
        <w:overflowPunct/>
        <w:topLinePunct w:val="0"/>
        <w:autoSpaceDE/>
        <w:autoSpaceDN/>
        <w:bidi w:val="0"/>
        <w:adjustRightInd/>
        <w:snapToGrid/>
        <w:spacing w:line="480" w:lineRule="exact"/>
        <w:ind w:left="560" w:leftChars="0" w:right="0" w:rightChars="0" w:hanging="560" w:hangingChars="200"/>
        <w:jc w:val="both"/>
        <w:textAlignment w:val="auto"/>
        <w:outlineLvl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项目名称：2026年无物业管理小区病媒生物防制药械采购项目</w:t>
      </w:r>
    </w:p>
    <w:p w14:paraId="74B1FE17">
      <w:pPr>
        <w:pStyle w:val="4"/>
        <w:rPr>
          <w:rFonts w:hint="eastAsia"/>
          <w:lang w:val="en-US" w:eastAsia="zh-CN"/>
        </w:rPr>
      </w:pPr>
      <w:bookmarkStart w:id="1" w:name="_GoBack"/>
      <w:bookmarkEnd w:id="1"/>
    </w:p>
    <w:tbl>
      <w:tblPr>
        <w:tblStyle w:val="10"/>
        <w:tblW w:w="1029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2794"/>
        <w:gridCol w:w="1089"/>
        <w:gridCol w:w="1397"/>
        <w:gridCol w:w="1397"/>
        <w:gridCol w:w="1397"/>
        <w:gridCol w:w="1397"/>
      </w:tblGrid>
      <w:tr w14:paraId="35A4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825" w:type="dxa"/>
            <w:tcBorders>
              <w:tl2br w:val="nil"/>
              <w:tr2bl w:val="nil"/>
            </w:tcBorders>
            <w:noWrap/>
            <w:vAlign w:val="center"/>
          </w:tcPr>
          <w:p w14:paraId="06E3C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项目类别</w:t>
            </w:r>
          </w:p>
        </w:tc>
        <w:tc>
          <w:tcPr>
            <w:tcW w:w="2794" w:type="dxa"/>
            <w:tcBorders>
              <w:tl2br w:val="nil"/>
              <w:tr2bl w:val="nil"/>
            </w:tcBorders>
            <w:noWrap/>
            <w:vAlign w:val="center"/>
          </w:tcPr>
          <w:p w14:paraId="1E01A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药械技术要求（实质性要求）</w:t>
            </w:r>
          </w:p>
        </w:tc>
        <w:tc>
          <w:tcPr>
            <w:tcW w:w="1089" w:type="dxa"/>
            <w:tcBorders>
              <w:tl2br w:val="nil"/>
              <w:tr2bl w:val="nil"/>
            </w:tcBorders>
            <w:noWrap/>
            <w:vAlign w:val="center"/>
          </w:tcPr>
          <w:p w14:paraId="08C6F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97" w:type="dxa"/>
            <w:tcBorders>
              <w:tl2br w:val="nil"/>
              <w:tr2bl w:val="nil"/>
            </w:tcBorders>
            <w:noWrap/>
            <w:vAlign w:val="center"/>
          </w:tcPr>
          <w:p w14:paraId="1F8E6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97" w:type="dxa"/>
            <w:tcBorders>
              <w:tl2br w:val="nil"/>
              <w:tr2bl w:val="nil"/>
            </w:tcBorders>
            <w:noWrap/>
            <w:vAlign w:val="center"/>
          </w:tcPr>
          <w:p w14:paraId="0130446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397" w:type="dxa"/>
            <w:tcBorders>
              <w:tl2br w:val="nil"/>
              <w:tr2bl w:val="nil"/>
            </w:tcBorders>
            <w:noWrap/>
            <w:vAlign w:val="center"/>
          </w:tcPr>
          <w:p w14:paraId="0BAE8F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1397" w:type="dxa"/>
            <w:tcBorders>
              <w:tl2br w:val="nil"/>
              <w:tr2bl w:val="nil"/>
            </w:tcBorders>
            <w:noWrap/>
            <w:vAlign w:val="center"/>
          </w:tcPr>
          <w:p w14:paraId="1EA4A2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3A0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825" w:type="dxa"/>
            <w:vMerge w:val="restart"/>
            <w:tcBorders>
              <w:tl2br w:val="nil"/>
              <w:tr2bl w:val="nil"/>
            </w:tcBorders>
            <w:noWrap/>
            <w:vAlign w:val="center"/>
          </w:tcPr>
          <w:p w14:paraId="2728D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灭鼠</w:t>
            </w:r>
          </w:p>
        </w:tc>
        <w:tc>
          <w:tcPr>
            <w:tcW w:w="2794" w:type="dxa"/>
            <w:tcBorders>
              <w:tl2br w:val="nil"/>
              <w:tr2bl w:val="nil"/>
            </w:tcBorders>
            <w:noWrap w:val="0"/>
            <w:vAlign w:val="center"/>
          </w:tcPr>
          <w:p w14:paraId="2DC88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1.溴敌隆类毒饵(非全谷类)，溴敌隆含量≥0.005%</w:t>
            </w:r>
          </w:p>
        </w:tc>
        <w:tc>
          <w:tcPr>
            <w:tcW w:w="1089" w:type="dxa"/>
            <w:tcBorders>
              <w:tl2br w:val="nil"/>
              <w:tr2bl w:val="nil"/>
            </w:tcBorders>
            <w:noWrap w:val="0"/>
            <w:vAlign w:val="center"/>
          </w:tcPr>
          <w:p w14:paraId="33D59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97" w:type="dxa"/>
            <w:tcBorders>
              <w:tl2br w:val="nil"/>
              <w:tr2bl w:val="nil"/>
            </w:tcBorders>
            <w:noWrap/>
            <w:vAlign w:val="center"/>
          </w:tcPr>
          <w:p w14:paraId="4E9DF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397" w:type="dxa"/>
            <w:tcBorders>
              <w:tl2br w:val="nil"/>
              <w:tr2bl w:val="nil"/>
            </w:tcBorders>
            <w:noWrap/>
            <w:vAlign w:val="center"/>
          </w:tcPr>
          <w:p w14:paraId="6FCDE9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00C015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5A0351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5B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825" w:type="dxa"/>
            <w:vMerge w:val="continue"/>
            <w:tcBorders>
              <w:tl2br w:val="nil"/>
              <w:tr2bl w:val="nil"/>
            </w:tcBorders>
            <w:noWrap/>
            <w:vAlign w:val="center"/>
          </w:tcPr>
          <w:p w14:paraId="180C6C39">
            <w:pPr>
              <w:jc w:val="center"/>
              <w:rPr>
                <w:rFonts w:hint="eastAsia" w:ascii="宋体" w:hAnsi="宋体" w:eastAsia="宋体" w:cs="宋体"/>
                <w:i w:val="0"/>
                <w:iCs w:val="0"/>
                <w:color w:val="000000"/>
                <w:sz w:val="24"/>
                <w:szCs w:val="24"/>
                <w:u w:val="none"/>
              </w:rPr>
            </w:pPr>
          </w:p>
        </w:tc>
        <w:tc>
          <w:tcPr>
            <w:tcW w:w="2794" w:type="dxa"/>
            <w:tcBorders>
              <w:tl2br w:val="nil"/>
              <w:tr2bl w:val="nil"/>
            </w:tcBorders>
            <w:noWrap w:val="0"/>
            <w:vAlign w:val="center"/>
          </w:tcPr>
          <w:p w14:paraId="78BFB2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2.溴敌隆类蜡块，溴敌隆含量≥0.005%</w:t>
            </w:r>
          </w:p>
        </w:tc>
        <w:tc>
          <w:tcPr>
            <w:tcW w:w="1089" w:type="dxa"/>
            <w:tcBorders>
              <w:tl2br w:val="nil"/>
              <w:tr2bl w:val="nil"/>
            </w:tcBorders>
            <w:noWrap w:val="0"/>
            <w:vAlign w:val="center"/>
          </w:tcPr>
          <w:p w14:paraId="62783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97" w:type="dxa"/>
            <w:tcBorders>
              <w:tl2br w:val="nil"/>
              <w:tr2bl w:val="nil"/>
            </w:tcBorders>
            <w:noWrap/>
            <w:vAlign w:val="center"/>
          </w:tcPr>
          <w:p w14:paraId="7FEE6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397" w:type="dxa"/>
            <w:tcBorders>
              <w:tl2br w:val="nil"/>
              <w:tr2bl w:val="nil"/>
            </w:tcBorders>
            <w:noWrap/>
            <w:vAlign w:val="center"/>
          </w:tcPr>
          <w:p w14:paraId="2DD852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59EE2A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7C298A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1D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trPr>
        <w:tc>
          <w:tcPr>
            <w:tcW w:w="825" w:type="dxa"/>
            <w:vMerge w:val="continue"/>
            <w:tcBorders>
              <w:tl2br w:val="nil"/>
              <w:tr2bl w:val="nil"/>
            </w:tcBorders>
            <w:noWrap/>
            <w:vAlign w:val="center"/>
          </w:tcPr>
          <w:p w14:paraId="5F9DA3F1">
            <w:pPr>
              <w:jc w:val="center"/>
              <w:rPr>
                <w:rFonts w:hint="eastAsia" w:ascii="宋体" w:hAnsi="宋体" w:eastAsia="宋体" w:cs="宋体"/>
                <w:i w:val="0"/>
                <w:iCs w:val="0"/>
                <w:color w:val="000000"/>
                <w:sz w:val="24"/>
                <w:szCs w:val="24"/>
                <w:u w:val="none"/>
              </w:rPr>
            </w:pPr>
          </w:p>
        </w:tc>
        <w:tc>
          <w:tcPr>
            <w:tcW w:w="2794" w:type="dxa"/>
            <w:tcBorders>
              <w:tl2br w:val="nil"/>
              <w:tr2bl w:val="nil"/>
            </w:tcBorders>
            <w:noWrap w:val="0"/>
            <w:vAlign w:val="center"/>
          </w:tcPr>
          <w:p w14:paraId="28B4A1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3.陶瓷毒饵盒</w:t>
            </w:r>
          </w:p>
        </w:tc>
        <w:tc>
          <w:tcPr>
            <w:tcW w:w="1089" w:type="dxa"/>
            <w:tcBorders>
              <w:tl2br w:val="nil"/>
              <w:tr2bl w:val="nil"/>
            </w:tcBorders>
            <w:noWrap w:val="0"/>
            <w:vAlign w:val="center"/>
          </w:tcPr>
          <w:p w14:paraId="20515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97" w:type="dxa"/>
            <w:tcBorders>
              <w:tl2br w:val="nil"/>
              <w:tr2bl w:val="nil"/>
            </w:tcBorders>
            <w:noWrap/>
            <w:vAlign w:val="center"/>
          </w:tcPr>
          <w:p w14:paraId="1705C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97" w:type="dxa"/>
            <w:tcBorders>
              <w:tl2br w:val="nil"/>
              <w:tr2bl w:val="nil"/>
            </w:tcBorders>
            <w:noWrap/>
            <w:vAlign w:val="center"/>
          </w:tcPr>
          <w:p w14:paraId="020D1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0D60B9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0C0613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8B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825" w:type="dxa"/>
            <w:vMerge w:val="continue"/>
            <w:tcBorders>
              <w:tl2br w:val="nil"/>
              <w:tr2bl w:val="nil"/>
            </w:tcBorders>
            <w:noWrap/>
            <w:vAlign w:val="center"/>
          </w:tcPr>
          <w:p w14:paraId="4519A83F">
            <w:pPr>
              <w:jc w:val="center"/>
              <w:rPr>
                <w:rFonts w:hint="eastAsia" w:ascii="宋体" w:hAnsi="宋体" w:eastAsia="宋体" w:cs="宋体"/>
                <w:i w:val="0"/>
                <w:iCs w:val="0"/>
                <w:color w:val="000000"/>
                <w:sz w:val="24"/>
                <w:szCs w:val="24"/>
                <w:u w:val="none"/>
              </w:rPr>
            </w:pPr>
          </w:p>
        </w:tc>
        <w:tc>
          <w:tcPr>
            <w:tcW w:w="2794" w:type="dxa"/>
            <w:tcBorders>
              <w:tl2br w:val="nil"/>
              <w:tr2bl w:val="nil"/>
            </w:tcBorders>
            <w:noWrap w:val="0"/>
            <w:vAlign w:val="center"/>
          </w:tcPr>
          <w:p w14:paraId="048269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4.毒饵盒警示标签</w:t>
            </w:r>
          </w:p>
        </w:tc>
        <w:tc>
          <w:tcPr>
            <w:tcW w:w="1089" w:type="dxa"/>
            <w:tcBorders>
              <w:tl2br w:val="nil"/>
              <w:tr2bl w:val="nil"/>
            </w:tcBorders>
            <w:noWrap w:val="0"/>
            <w:vAlign w:val="center"/>
          </w:tcPr>
          <w:p w14:paraId="3BAE9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397" w:type="dxa"/>
            <w:tcBorders>
              <w:tl2br w:val="nil"/>
              <w:tr2bl w:val="nil"/>
            </w:tcBorders>
            <w:noWrap/>
            <w:vAlign w:val="center"/>
          </w:tcPr>
          <w:p w14:paraId="1F1BF34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1000</w:t>
            </w:r>
          </w:p>
        </w:tc>
        <w:tc>
          <w:tcPr>
            <w:tcW w:w="1397" w:type="dxa"/>
            <w:tcBorders>
              <w:tl2br w:val="nil"/>
              <w:tr2bl w:val="nil"/>
            </w:tcBorders>
            <w:noWrap/>
            <w:vAlign w:val="center"/>
          </w:tcPr>
          <w:p w14:paraId="1F52765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01EC50C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6081389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r>
      <w:tr w14:paraId="4442F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825" w:type="dxa"/>
            <w:vMerge w:val="continue"/>
            <w:tcBorders>
              <w:tl2br w:val="nil"/>
              <w:tr2bl w:val="nil"/>
            </w:tcBorders>
            <w:noWrap/>
            <w:vAlign w:val="center"/>
          </w:tcPr>
          <w:p w14:paraId="1117600C">
            <w:pPr>
              <w:jc w:val="center"/>
              <w:rPr>
                <w:rFonts w:hint="eastAsia" w:ascii="宋体" w:hAnsi="宋体" w:eastAsia="宋体" w:cs="宋体"/>
                <w:i w:val="0"/>
                <w:iCs w:val="0"/>
                <w:color w:val="000000"/>
                <w:sz w:val="24"/>
                <w:szCs w:val="24"/>
                <w:u w:val="none"/>
              </w:rPr>
            </w:pPr>
          </w:p>
        </w:tc>
        <w:tc>
          <w:tcPr>
            <w:tcW w:w="2794" w:type="dxa"/>
            <w:tcBorders>
              <w:tl2br w:val="nil"/>
              <w:tr2bl w:val="nil"/>
            </w:tcBorders>
            <w:noWrap w:val="0"/>
            <w:vAlign w:val="center"/>
          </w:tcPr>
          <w:p w14:paraId="06F8DBF5">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5.粘鼠板</w:t>
            </w:r>
          </w:p>
        </w:tc>
        <w:tc>
          <w:tcPr>
            <w:tcW w:w="1089" w:type="dxa"/>
            <w:tcBorders>
              <w:tl2br w:val="nil"/>
              <w:tr2bl w:val="nil"/>
            </w:tcBorders>
            <w:noWrap w:val="0"/>
            <w:vAlign w:val="center"/>
          </w:tcPr>
          <w:p w14:paraId="7C2D24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397" w:type="dxa"/>
            <w:tcBorders>
              <w:tl2br w:val="nil"/>
              <w:tr2bl w:val="nil"/>
            </w:tcBorders>
            <w:noWrap/>
            <w:vAlign w:val="center"/>
          </w:tcPr>
          <w:p w14:paraId="0C1F594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2000</w:t>
            </w:r>
          </w:p>
        </w:tc>
        <w:tc>
          <w:tcPr>
            <w:tcW w:w="1397" w:type="dxa"/>
            <w:tcBorders>
              <w:tl2br w:val="nil"/>
              <w:tr2bl w:val="nil"/>
            </w:tcBorders>
            <w:noWrap/>
            <w:vAlign w:val="center"/>
          </w:tcPr>
          <w:p w14:paraId="4E98D3B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70FC2DD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07FC741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r>
      <w:tr w14:paraId="1C362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825" w:type="dxa"/>
            <w:vMerge w:val="restart"/>
            <w:tcBorders>
              <w:tl2br w:val="nil"/>
              <w:tr2bl w:val="nil"/>
            </w:tcBorders>
            <w:noWrap/>
            <w:vAlign w:val="center"/>
          </w:tcPr>
          <w:p w14:paraId="352BA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灭蚊蝇</w:t>
            </w:r>
          </w:p>
        </w:tc>
        <w:tc>
          <w:tcPr>
            <w:tcW w:w="2794" w:type="dxa"/>
            <w:tcBorders>
              <w:tl2br w:val="nil"/>
              <w:tr2bl w:val="nil"/>
            </w:tcBorders>
            <w:noWrap w:val="0"/>
            <w:vAlign w:val="center"/>
          </w:tcPr>
          <w:p w14:paraId="5728EE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1.高效氯氰菊酯悬浮剂，含量≥4.5%</w:t>
            </w:r>
          </w:p>
        </w:tc>
        <w:tc>
          <w:tcPr>
            <w:tcW w:w="1089" w:type="dxa"/>
            <w:tcBorders>
              <w:tl2br w:val="nil"/>
              <w:tr2bl w:val="nil"/>
            </w:tcBorders>
            <w:noWrap w:val="0"/>
            <w:vAlign w:val="center"/>
          </w:tcPr>
          <w:p w14:paraId="592A4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97" w:type="dxa"/>
            <w:tcBorders>
              <w:tl2br w:val="nil"/>
              <w:tr2bl w:val="nil"/>
            </w:tcBorders>
            <w:noWrap/>
            <w:vAlign w:val="center"/>
          </w:tcPr>
          <w:p w14:paraId="3528C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97" w:type="dxa"/>
            <w:tcBorders>
              <w:tl2br w:val="nil"/>
              <w:tr2bl w:val="nil"/>
            </w:tcBorders>
            <w:noWrap/>
            <w:vAlign w:val="center"/>
          </w:tcPr>
          <w:p w14:paraId="26416C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6C52F7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45BAB2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86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825" w:type="dxa"/>
            <w:vMerge w:val="continue"/>
            <w:tcBorders>
              <w:tl2br w:val="nil"/>
              <w:tr2bl w:val="nil"/>
            </w:tcBorders>
            <w:noWrap/>
            <w:vAlign w:val="center"/>
          </w:tcPr>
          <w:p w14:paraId="47CADC20">
            <w:pPr>
              <w:jc w:val="center"/>
              <w:rPr>
                <w:rFonts w:hint="eastAsia" w:ascii="宋体" w:hAnsi="宋体" w:eastAsia="宋体" w:cs="宋体"/>
                <w:i w:val="0"/>
                <w:iCs w:val="0"/>
                <w:color w:val="000000"/>
                <w:sz w:val="24"/>
                <w:szCs w:val="24"/>
                <w:u w:val="none"/>
              </w:rPr>
            </w:pPr>
          </w:p>
        </w:tc>
        <w:tc>
          <w:tcPr>
            <w:tcW w:w="2794" w:type="dxa"/>
            <w:tcBorders>
              <w:tl2br w:val="nil"/>
              <w:tr2bl w:val="nil"/>
            </w:tcBorders>
            <w:noWrap/>
            <w:vAlign w:val="center"/>
          </w:tcPr>
          <w:p w14:paraId="042839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2.倍硫磷颗粒剂</w:t>
            </w:r>
          </w:p>
        </w:tc>
        <w:tc>
          <w:tcPr>
            <w:tcW w:w="1089" w:type="dxa"/>
            <w:tcBorders>
              <w:tl2br w:val="nil"/>
              <w:tr2bl w:val="nil"/>
            </w:tcBorders>
            <w:noWrap/>
            <w:vAlign w:val="center"/>
          </w:tcPr>
          <w:p w14:paraId="7ACD1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97" w:type="dxa"/>
            <w:tcBorders>
              <w:tl2br w:val="nil"/>
              <w:tr2bl w:val="nil"/>
            </w:tcBorders>
            <w:noWrap/>
            <w:vAlign w:val="center"/>
          </w:tcPr>
          <w:p w14:paraId="33C3B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97" w:type="dxa"/>
            <w:tcBorders>
              <w:tl2br w:val="nil"/>
              <w:tr2bl w:val="nil"/>
            </w:tcBorders>
            <w:noWrap/>
            <w:vAlign w:val="center"/>
          </w:tcPr>
          <w:p w14:paraId="28F5E0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2A672B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4185EA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6E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25" w:type="dxa"/>
            <w:vMerge w:val="continue"/>
            <w:tcBorders>
              <w:tl2br w:val="nil"/>
              <w:tr2bl w:val="nil"/>
            </w:tcBorders>
            <w:noWrap/>
            <w:vAlign w:val="center"/>
          </w:tcPr>
          <w:p w14:paraId="2250ABB9">
            <w:pPr>
              <w:jc w:val="center"/>
              <w:rPr>
                <w:rFonts w:hint="eastAsia" w:ascii="宋体" w:hAnsi="宋体" w:eastAsia="宋体" w:cs="宋体"/>
                <w:i w:val="0"/>
                <w:iCs w:val="0"/>
                <w:color w:val="000000"/>
                <w:sz w:val="24"/>
                <w:szCs w:val="24"/>
                <w:u w:val="none"/>
              </w:rPr>
            </w:pPr>
          </w:p>
        </w:tc>
        <w:tc>
          <w:tcPr>
            <w:tcW w:w="2794" w:type="dxa"/>
            <w:tcBorders>
              <w:tl2br w:val="nil"/>
              <w:tr2bl w:val="nil"/>
            </w:tcBorders>
            <w:noWrap/>
            <w:vAlign w:val="center"/>
          </w:tcPr>
          <w:p w14:paraId="15010D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3.常量喷雾器</w:t>
            </w:r>
          </w:p>
        </w:tc>
        <w:tc>
          <w:tcPr>
            <w:tcW w:w="1089" w:type="dxa"/>
            <w:tcBorders>
              <w:tl2br w:val="nil"/>
              <w:tr2bl w:val="nil"/>
            </w:tcBorders>
            <w:noWrap/>
            <w:vAlign w:val="center"/>
          </w:tcPr>
          <w:p w14:paraId="0A868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7" w:type="dxa"/>
            <w:tcBorders>
              <w:tl2br w:val="nil"/>
              <w:tr2bl w:val="nil"/>
            </w:tcBorders>
            <w:noWrap/>
            <w:vAlign w:val="center"/>
          </w:tcPr>
          <w:p w14:paraId="12D7A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97" w:type="dxa"/>
            <w:tcBorders>
              <w:tl2br w:val="nil"/>
              <w:tr2bl w:val="nil"/>
            </w:tcBorders>
            <w:noWrap/>
            <w:vAlign w:val="center"/>
          </w:tcPr>
          <w:p w14:paraId="6F9954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5D119C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6188FE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2A3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825" w:type="dxa"/>
            <w:tcBorders>
              <w:tl2br w:val="nil"/>
              <w:tr2bl w:val="nil"/>
            </w:tcBorders>
            <w:noWrap/>
            <w:vAlign w:val="center"/>
          </w:tcPr>
          <w:p w14:paraId="5FCA1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灭蟑螂</w:t>
            </w:r>
          </w:p>
        </w:tc>
        <w:tc>
          <w:tcPr>
            <w:tcW w:w="2794" w:type="dxa"/>
            <w:tcBorders>
              <w:tl2br w:val="nil"/>
              <w:tr2bl w:val="nil"/>
            </w:tcBorders>
            <w:noWrap w:val="0"/>
            <w:vAlign w:val="center"/>
          </w:tcPr>
          <w:p w14:paraId="35839C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乙酰甲胺磷饵剂</w:t>
            </w:r>
          </w:p>
        </w:tc>
        <w:tc>
          <w:tcPr>
            <w:tcW w:w="1089" w:type="dxa"/>
            <w:tcBorders>
              <w:tl2br w:val="nil"/>
              <w:tr2bl w:val="nil"/>
            </w:tcBorders>
            <w:noWrap w:val="0"/>
            <w:vAlign w:val="center"/>
          </w:tcPr>
          <w:p w14:paraId="19E3B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397" w:type="dxa"/>
            <w:tcBorders>
              <w:tl2br w:val="nil"/>
              <w:tr2bl w:val="nil"/>
            </w:tcBorders>
            <w:noWrap/>
            <w:vAlign w:val="center"/>
          </w:tcPr>
          <w:p w14:paraId="5E1B41B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c>
          <w:tcPr>
            <w:tcW w:w="1397" w:type="dxa"/>
            <w:tcBorders>
              <w:tl2br w:val="nil"/>
              <w:tr2bl w:val="nil"/>
            </w:tcBorders>
            <w:noWrap/>
            <w:vAlign w:val="center"/>
          </w:tcPr>
          <w:p w14:paraId="58451F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096212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7" w:type="dxa"/>
            <w:tcBorders>
              <w:tl2br w:val="nil"/>
              <w:tr2bl w:val="nil"/>
            </w:tcBorders>
            <w:noWrap/>
            <w:vAlign w:val="center"/>
          </w:tcPr>
          <w:p w14:paraId="5A86AE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318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3619" w:type="dxa"/>
            <w:gridSpan w:val="2"/>
            <w:tcBorders>
              <w:tl2br w:val="nil"/>
              <w:tr2bl w:val="nil"/>
            </w:tcBorders>
            <w:noWrap/>
            <w:vAlign w:val="center"/>
          </w:tcPr>
          <w:p w14:paraId="6072BF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报价合计 </w:t>
            </w:r>
          </w:p>
        </w:tc>
        <w:tc>
          <w:tcPr>
            <w:tcW w:w="6677" w:type="dxa"/>
            <w:gridSpan w:val="5"/>
            <w:tcBorders>
              <w:tl2br w:val="nil"/>
              <w:tr2bl w:val="nil"/>
            </w:tcBorders>
            <w:noWrap w:val="0"/>
            <w:vAlign w:val="center"/>
          </w:tcPr>
          <w:p w14:paraId="14A5D6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小写：人民币</w:t>
            </w:r>
          </w:p>
          <w:p w14:paraId="70386F7F">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大写：人民币</w:t>
            </w:r>
          </w:p>
        </w:tc>
      </w:tr>
      <w:tr w14:paraId="52E7E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10296" w:type="dxa"/>
            <w:gridSpan w:val="7"/>
            <w:tcBorders>
              <w:tl2br w:val="nil"/>
              <w:tr2bl w:val="nil"/>
            </w:tcBorders>
            <w:noWrap/>
            <w:vAlign w:val="center"/>
          </w:tcPr>
          <w:p w14:paraId="0CF327E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32"/>
              </w:rPr>
              <w:t>注：1</w:t>
            </w:r>
            <w:r>
              <w:rPr>
                <w:rFonts w:hint="eastAsia" w:ascii="宋体" w:hAnsi="宋体" w:eastAsia="宋体" w:cs="宋体"/>
                <w:b w:val="0"/>
                <w:bCs w:val="0"/>
                <w:sz w:val="24"/>
                <w:szCs w:val="32"/>
                <w:lang w:val="en-US" w:eastAsia="zh-CN"/>
              </w:rPr>
              <w:t>.</w:t>
            </w:r>
            <w:r>
              <w:rPr>
                <w:rFonts w:hint="eastAsia" w:ascii="宋体" w:hAnsi="宋体" w:eastAsia="宋体" w:cs="宋体"/>
                <w:b w:val="0"/>
                <w:bCs w:val="0"/>
                <w:sz w:val="24"/>
                <w:szCs w:val="32"/>
              </w:rPr>
              <w:t>以人民币报价。报价包含</w:t>
            </w:r>
            <w:r>
              <w:rPr>
                <w:rFonts w:hint="eastAsia" w:ascii="宋体" w:hAnsi="宋体" w:eastAsia="宋体" w:cs="宋体"/>
                <w:b w:val="0"/>
                <w:bCs w:val="0"/>
                <w:sz w:val="24"/>
                <w:szCs w:val="32"/>
                <w:lang w:val="en-US" w:eastAsia="zh-CN"/>
              </w:rPr>
              <w:t>货物、</w:t>
            </w:r>
            <w:r>
              <w:rPr>
                <w:rFonts w:hint="eastAsia" w:ascii="宋体" w:hAnsi="宋体" w:eastAsia="宋体" w:cs="宋体"/>
                <w:b w:val="0"/>
                <w:bCs w:val="0"/>
                <w:sz w:val="24"/>
                <w:szCs w:val="32"/>
              </w:rPr>
              <w:t>管理费、人工费、税金等履约过程涉及的所有费用</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报价合计高于项目最高限价，为无效报价。</w:t>
            </w:r>
          </w:p>
        </w:tc>
      </w:tr>
    </w:tbl>
    <w:p w14:paraId="3489078E">
      <w:pPr>
        <w:jc w:val="right"/>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参选人名称：  XXX   (加盖公章）</w:t>
      </w:r>
    </w:p>
    <w:p w14:paraId="22622736">
      <w:pPr>
        <w:ind w:firstLine="6440" w:firstLineChars="23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2026年XX月XX日</w:t>
      </w:r>
    </w:p>
    <w:p w14:paraId="654CB178">
      <w:pPr>
        <w:rPr>
          <w:rFonts w:hint="eastAsia" w:ascii="宋体" w:hAnsi="宋体" w:eastAsia="宋体" w:cs="宋体"/>
          <w:color w:val="auto"/>
          <w:kern w:val="0"/>
          <w:sz w:val="32"/>
          <w:szCs w:val="32"/>
          <w:highlight w:val="none"/>
          <w:lang w:val="en-US" w:eastAsia="zh-CN" w:bidi="ar"/>
        </w:rPr>
      </w:pPr>
    </w:p>
    <w:p w14:paraId="03A31138">
      <w:pPr>
        <w:numPr>
          <w:ilvl w:val="0"/>
          <w:numId w:val="0"/>
        </w:numPr>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二、</w:t>
      </w:r>
      <w:r>
        <w:rPr>
          <w:rFonts w:hint="eastAsia" w:ascii="宋体" w:hAnsi="宋体" w:eastAsia="宋体" w:cs="宋体"/>
          <w:color w:val="auto"/>
          <w:kern w:val="0"/>
          <w:sz w:val="32"/>
          <w:szCs w:val="32"/>
          <w:highlight w:val="none"/>
          <w:lang w:val="en-US" w:eastAsia="zh-CN" w:bidi="ar"/>
        </w:rPr>
        <w:t>具有独立承担民事责任的能力</w:t>
      </w:r>
    </w:p>
    <w:p w14:paraId="3BE8B821">
      <w:pPr>
        <w:numPr>
          <w:ilvl w:val="0"/>
          <w:numId w:val="0"/>
        </w:numPr>
        <w:rPr>
          <w:rFonts w:hint="eastAsia" w:asciiTheme="minorEastAsia" w:hAnsiTheme="minorEastAsia" w:eastAsiaTheme="minorEastAsia" w:cstheme="minorEastAsia"/>
          <w:bCs/>
          <w:color w:val="auto"/>
          <w:szCs w:val="21"/>
          <w:highlight w:val="none"/>
        </w:rPr>
      </w:pPr>
    </w:p>
    <w:p w14:paraId="1BEA1E21">
      <w:pPr>
        <w:numPr>
          <w:ilvl w:val="0"/>
          <w:numId w:val="0"/>
        </w:numP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注：①</w:t>
      </w:r>
      <w:r>
        <w:rPr>
          <w:rFonts w:hint="eastAsia" w:asciiTheme="minorEastAsia" w:hAnsiTheme="minorEastAsia" w:eastAsiaTheme="minorEastAsia" w:cstheme="minorEastAsia"/>
          <w:bCs/>
          <w:color w:val="auto"/>
          <w:szCs w:val="21"/>
          <w:highlight w:val="none"/>
          <w:lang w:eastAsia="zh-CN"/>
        </w:rPr>
        <w:t>参选人</w:t>
      </w:r>
      <w:r>
        <w:rPr>
          <w:rFonts w:hint="eastAsia" w:asciiTheme="minorEastAsia" w:hAnsiTheme="minorEastAsia" w:eastAsiaTheme="minorEastAsia" w:cstheme="minorEastAsia"/>
          <w:bCs/>
          <w:color w:val="auto"/>
          <w:szCs w:val="21"/>
          <w:highlight w:val="none"/>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w:t>
      </w:r>
      <w:r>
        <w:rPr>
          <w:rFonts w:hint="eastAsia" w:asciiTheme="minorEastAsia" w:hAnsiTheme="minorEastAsia" w:eastAsiaTheme="minorEastAsia" w:cstheme="minorEastAsia"/>
          <w:bCs/>
          <w:color w:val="auto"/>
          <w:szCs w:val="21"/>
          <w:highlight w:val="none"/>
          <w:lang w:eastAsia="zh-CN"/>
        </w:rPr>
        <w:t>资料</w:t>
      </w:r>
      <w:r>
        <w:rPr>
          <w:rFonts w:hint="eastAsia" w:asciiTheme="minorEastAsia" w:hAnsiTheme="minorEastAsia" w:eastAsiaTheme="minorEastAsia" w:cstheme="minorEastAsia"/>
          <w:bCs/>
          <w:color w:val="auto"/>
          <w:szCs w:val="21"/>
          <w:highlight w:val="none"/>
        </w:rPr>
        <w:t>”。</w:t>
      </w:r>
    </w:p>
    <w:p w14:paraId="22F792DF">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1FF89C52">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76F4D357">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3134A5F6">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65D72F6A">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4BE09B34">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51F516EE">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25E9AF16">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3E3D7FDD">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19E78437">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42D9B1FB">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799FE196">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713F2C04">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4A5B7EDC">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1BDA14DA">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578C705F">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6FBB847D">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7F9B1BC3">
      <w:pPr>
        <w:pStyle w:val="3"/>
        <w:rPr>
          <w:rFonts w:hint="eastAsia" w:ascii="宋体" w:hAnsi="宋体" w:eastAsia="宋体" w:cs="宋体"/>
          <w:color w:val="auto"/>
          <w:kern w:val="0"/>
          <w:sz w:val="32"/>
          <w:szCs w:val="32"/>
          <w:highlight w:val="none"/>
          <w:lang w:val="en-US" w:eastAsia="zh-CN" w:bidi="ar"/>
        </w:rPr>
      </w:pPr>
    </w:p>
    <w:p w14:paraId="5100CABE">
      <w:pPr>
        <w:pStyle w:val="4"/>
        <w:rPr>
          <w:rFonts w:hint="eastAsia"/>
          <w:lang w:val="en-US" w:eastAsia="zh-CN"/>
        </w:rPr>
      </w:pPr>
    </w:p>
    <w:p w14:paraId="00318A67">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三、</w:t>
      </w:r>
      <w:r>
        <w:rPr>
          <w:rFonts w:hint="eastAsia" w:ascii="宋体" w:hAnsi="宋体" w:eastAsia="宋体" w:cs="宋体"/>
          <w:color w:val="auto"/>
          <w:kern w:val="0"/>
          <w:sz w:val="32"/>
          <w:szCs w:val="32"/>
          <w:highlight w:val="none"/>
          <w:lang w:val="en-US" w:eastAsia="zh-CN" w:bidi="ar"/>
        </w:rPr>
        <w:t>具有良好的商业信誉和健全的财务会计制度</w:t>
      </w:r>
    </w:p>
    <w:p w14:paraId="035C162F">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注：①提供202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年度</w:t>
      </w:r>
      <w:r>
        <w:rPr>
          <w:rFonts w:hint="eastAsia" w:asciiTheme="minorEastAsia" w:hAnsiTheme="minorEastAsia" w:cstheme="minorEastAsia"/>
          <w:color w:val="auto"/>
          <w:highlight w:val="none"/>
          <w:lang w:val="en-US" w:eastAsia="zh-CN"/>
        </w:rPr>
        <w:t>或2025年度</w:t>
      </w:r>
      <w:r>
        <w:rPr>
          <w:rFonts w:hint="eastAsia" w:asciiTheme="minorEastAsia" w:hAnsiTheme="minorEastAsia" w:eastAsiaTheme="minorEastAsia" w:cstheme="minorEastAsia"/>
          <w:color w:val="auto"/>
          <w:highlight w:val="none"/>
        </w:rPr>
        <w:t>经审计的财务报告复印件（包含审计报告和审计报告中所涉及的财务报表和报表附注），②提供202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年度</w:t>
      </w:r>
      <w:r>
        <w:rPr>
          <w:rFonts w:hint="eastAsia" w:asciiTheme="minorEastAsia" w:hAnsiTheme="minorEastAsia" w:cstheme="minorEastAsia"/>
          <w:color w:val="auto"/>
          <w:highlight w:val="none"/>
          <w:lang w:val="en-US" w:eastAsia="zh-CN"/>
        </w:rPr>
        <w:t>或2025年度</w:t>
      </w:r>
      <w:r>
        <w:rPr>
          <w:rFonts w:hint="eastAsia" w:asciiTheme="minorEastAsia" w:hAnsiTheme="minorEastAsia" w:eastAsiaTheme="minorEastAsia" w:cstheme="minorEastAsia"/>
          <w:color w:val="auto"/>
          <w:highlight w:val="none"/>
          <w:lang w:eastAsia="zh-CN"/>
        </w:rPr>
        <w:t>参选人</w:t>
      </w:r>
      <w:r>
        <w:rPr>
          <w:rFonts w:hint="eastAsia" w:asciiTheme="minorEastAsia" w:hAnsiTheme="minorEastAsia" w:eastAsiaTheme="minorEastAsia" w:cstheme="minorEastAsia"/>
          <w:color w:val="auto"/>
          <w:highlight w:val="none"/>
        </w:rPr>
        <w:t>内部的财务报表复印件（至少包含资产负债表），③提供截至</w:t>
      </w:r>
      <w:r>
        <w:rPr>
          <w:rFonts w:hint="eastAsia" w:asciiTheme="minorEastAsia" w:hAnsiTheme="minorEastAsia" w:cstheme="minorEastAsia"/>
          <w:color w:val="auto"/>
          <w:highlight w:val="none"/>
          <w:lang w:eastAsia="zh-CN"/>
        </w:rPr>
        <w:t>报价文件</w:t>
      </w:r>
      <w:r>
        <w:rPr>
          <w:rFonts w:hint="eastAsia" w:asciiTheme="minorEastAsia" w:hAnsiTheme="minorEastAsia" w:eastAsiaTheme="minorEastAsia" w:cstheme="minorEastAsia"/>
          <w:color w:val="auto"/>
          <w:highlight w:val="none"/>
        </w:rPr>
        <w:t>递交截止日一年内银行出具的资信证明（复印件），④</w:t>
      </w:r>
      <w:r>
        <w:rPr>
          <w:rFonts w:hint="eastAsia" w:asciiTheme="minorEastAsia" w:hAnsiTheme="minorEastAsia" w:eastAsiaTheme="minorEastAsia" w:cstheme="minorEastAsia"/>
          <w:color w:val="auto"/>
          <w:highlight w:val="none"/>
          <w:lang w:eastAsia="zh-CN"/>
        </w:rPr>
        <w:t>参选人</w:t>
      </w:r>
      <w:r>
        <w:rPr>
          <w:rFonts w:hint="eastAsia" w:asciiTheme="minorEastAsia" w:hAnsiTheme="minorEastAsia" w:eastAsiaTheme="minorEastAsia" w:cstheme="minorEastAsia"/>
          <w:color w:val="auto"/>
          <w:highlight w:val="none"/>
        </w:rPr>
        <w:t>注册时间截至</w:t>
      </w:r>
      <w:r>
        <w:rPr>
          <w:rFonts w:hint="eastAsia" w:asciiTheme="minorEastAsia" w:hAnsiTheme="minorEastAsia" w:cstheme="minorEastAsia"/>
          <w:color w:val="auto"/>
          <w:highlight w:val="none"/>
          <w:lang w:eastAsia="zh-CN"/>
        </w:rPr>
        <w:t>报价文件</w:t>
      </w:r>
      <w:r>
        <w:rPr>
          <w:rFonts w:hint="eastAsia" w:asciiTheme="minorEastAsia" w:hAnsiTheme="minorEastAsia" w:eastAsiaTheme="minorEastAsia" w:cstheme="minorEastAsia"/>
          <w:color w:val="auto"/>
          <w:highlight w:val="none"/>
        </w:rPr>
        <w:t>递交截止日不足一年的，也可提供加盖工商备案主管部门印章的公司章程复印件。</w:t>
      </w:r>
      <w:r>
        <w:rPr>
          <w:rFonts w:hint="eastAsia" w:asciiTheme="minorEastAsia" w:hAnsiTheme="minorEastAsia" w:eastAsiaTheme="minorEastAsia" w:cstheme="minorEastAsia"/>
          <w:bCs/>
          <w:color w:val="auto"/>
          <w:szCs w:val="21"/>
          <w:highlight w:val="none"/>
          <w:lang w:val="en-US" w:eastAsia="zh-CN"/>
        </w:rPr>
        <w:t>⑤提供承诺函。</w:t>
      </w:r>
      <w:r>
        <w:rPr>
          <w:rFonts w:hint="eastAsia" w:asciiTheme="minorEastAsia" w:hAnsiTheme="minorEastAsia" w:eastAsiaTheme="minorEastAsia" w:cstheme="minorEastAsia"/>
          <w:color w:val="auto"/>
          <w:highlight w:val="none"/>
          <w:lang w:val="en-US" w:eastAsia="zh-CN"/>
        </w:rPr>
        <w:t>参选人根据自身情况自行选择以上1-5条要求中任意一种提供。</w:t>
      </w:r>
    </w:p>
    <w:p w14:paraId="23BA593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5A178904">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3A29554">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5C4B0887">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621F1146">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2DE55A91">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182A4E8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7B0F505">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2069C3C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1ECC912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EE81806">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680DED6C">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639882B1">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3638DC03">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43573A93">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58EF1C7B">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2F975F3A">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7B9AE46">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299CE90">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34B92E96">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31CB211A">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EC8B815">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FF258EC">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B2FF52B">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1322F905">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602842C9">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6870DF8">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128C95E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3AFB5704">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E09982D">
      <w:p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p>
    <w:p w14:paraId="1B4DBE45">
      <w:pPr>
        <w:numPr>
          <w:ilvl w:val="0"/>
          <w:numId w:val="0"/>
        </w:numPr>
        <w:adjustRightInd w:val="0"/>
        <w:spacing w:line="276" w:lineRule="auto"/>
        <w:ind w:left="0" w:leftChars="0" w:firstLine="0" w:firstLineChars="0"/>
        <w:contextualSpacing/>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四、</w:t>
      </w:r>
      <w:r>
        <w:rPr>
          <w:rFonts w:hint="eastAsia" w:ascii="宋体" w:hAnsi="宋体" w:eastAsia="宋体" w:cs="宋体"/>
          <w:color w:val="auto"/>
          <w:kern w:val="0"/>
          <w:sz w:val="32"/>
          <w:szCs w:val="32"/>
          <w:highlight w:val="none"/>
          <w:lang w:val="en-US" w:eastAsia="zh-CN" w:bidi="ar"/>
        </w:rPr>
        <w:t>具有履行合同所必须的专业技术能力</w:t>
      </w:r>
    </w:p>
    <w:p w14:paraId="79A62ED5">
      <w:pPr>
        <w:numPr>
          <w:ilvl w:val="0"/>
          <w:numId w:val="0"/>
        </w:numPr>
        <w:adjustRightInd w:val="0"/>
        <w:spacing w:line="276" w:lineRule="auto"/>
        <w:ind w:leftChars="0"/>
        <w:contextualSpacing/>
        <w:jc w:val="center"/>
        <w:rPr>
          <w:rFonts w:hint="eastAsia" w:ascii="宋体" w:hAnsi="宋体" w:eastAsia="宋体" w:cs="宋体"/>
          <w:color w:val="auto"/>
          <w:kern w:val="0"/>
          <w:sz w:val="32"/>
          <w:szCs w:val="32"/>
          <w:highlight w:val="none"/>
          <w:lang w:val="en-US" w:eastAsia="zh-CN" w:bidi="ar"/>
        </w:rPr>
      </w:pPr>
      <w:r>
        <w:rPr>
          <w:rFonts w:hint="eastAsia" w:asciiTheme="minorEastAsia" w:hAnsiTheme="minorEastAsia" w:eastAsiaTheme="minorEastAsia" w:cstheme="minorEastAsia"/>
          <w:bCs/>
          <w:color w:val="auto"/>
          <w:szCs w:val="21"/>
          <w:highlight w:val="none"/>
          <w:lang w:val="en-US" w:eastAsia="zh-CN"/>
        </w:rPr>
        <w:t>注：承诺函或相关证明材料</w:t>
      </w:r>
    </w:p>
    <w:p w14:paraId="42AE4FD1">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30DC8179">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2C1B4EE">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1D4DE7B9">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1B740037">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1549E6D1">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2459CE3">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67D728D4">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30F02080">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690A4525">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AFBA8DA">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59D7433">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21781810">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703526D6">
      <w:pPr>
        <w:pStyle w:val="3"/>
        <w:rPr>
          <w:rFonts w:hint="eastAsia" w:ascii="宋体" w:hAnsi="宋体" w:eastAsia="宋体" w:cs="宋体"/>
          <w:color w:val="auto"/>
          <w:kern w:val="0"/>
          <w:sz w:val="32"/>
          <w:szCs w:val="32"/>
          <w:highlight w:val="none"/>
          <w:lang w:val="en-US" w:eastAsia="zh-CN" w:bidi="ar"/>
        </w:rPr>
      </w:pPr>
    </w:p>
    <w:p w14:paraId="7C66CB7A">
      <w:pPr>
        <w:pStyle w:val="4"/>
        <w:rPr>
          <w:rFonts w:hint="eastAsia" w:ascii="宋体" w:hAnsi="宋体" w:eastAsia="宋体" w:cs="宋体"/>
          <w:color w:val="auto"/>
          <w:kern w:val="0"/>
          <w:sz w:val="32"/>
          <w:szCs w:val="32"/>
          <w:highlight w:val="none"/>
          <w:lang w:val="en-US" w:eastAsia="zh-CN" w:bidi="ar"/>
        </w:rPr>
      </w:pPr>
    </w:p>
    <w:p w14:paraId="21DA96AF">
      <w:pPr>
        <w:rPr>
          <w:rFonts w:hint="eastAsia" w:ascii="宋体" w:hAnsi="宋体" w:eastAsia="宋体" w:cs="宋体"/>
          <w:color w:val="auto"/>
          <w:kern w:val="0"/>
          <w:sz w:val="32"/>
          <w:szCs w:val="32"/>
          <w:highlight w:val="none"/>
          <w:lang w:val="en-US" w:eastAsia="zh-CN" w:bidi="ar"/>
        </w:rPr>
      </w:pPr>
    </w:p>
    <w:p w14:paraId="53782CDB">
      <w:pPr>
        <w:pStyle w:val="3"/>
        <w:rPr>
          <w:rFonts w:hint="eastAsia" w:ascii="宋体" w:hAnsi="宋体" w:eastAsia="宋体" w:cs="宋体"/>
          <w:color w:val="auto"/>
          <w:kern w:val="0"/>
          <w:sz w:val="32"/>
          <w:szCs w:val="32"/>
          <w:highlight w:val="none"/>
          <w:lang w:val="en-US" w:eastAsia="zh-CN" w:bidi="ar"/>
        </w:rPr>
      </w:pPr>
    </w:p>
    <w:p w14:paraId="2765EE40">
      <w:pPr>
        <w:rPr>
          <w:rFonts w:hint="eastAsia"/>
          <w:lang w:val="en-US" w:eastAsia="zh-CN"/>
        </w:rPr>
      </w:pPr>
    </w:p>
    <w:p w14:paraId="57183893">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4DB189EC">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71DB8F79">
      <w:pPr>
        <w:numPr>
          <w:ilvl w:val="0"/>
          <w:numId w:val="0"/>
        </w:num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五、</w:t>
      </w:r>
      <w:r>
        <w:rPr>
          <w:rFonts w:hint="eastAsia" w:ascii="宋体" w:hAnsi="宋体" w:eastAsia="宋体" w:cs="宋体"/>
          <w:color w:val="auto"/>
          <w:kern w:val="0"/>
          <w:sz w:val="32"/>
          <w:szCs w:val="32"/>
          <w:highlight w:val="none"/>
          <w:lang w:val="en-US" w:eastAsia="zh-CN" w:bidi="ar"/>
        </w:rPr>
        <w:t>具有依法缴纳税收和社会保障资金的良好记录</w:t>
      </w:r>
    </w:p>
    <w:p w14:paraId="6242B599">
      <w:pPr>
        <w:numPr>
          <w:ilvl w:val="0"/>
          <w:numId w:val="0"/>
        </w:numPr>
        <w:adjustRightInd w:val="0"/>
        <w:spacing w:line="276" w:lineRule="auto"/>
        <w:ind w:leftChars="0"/>
        <w:contextualSpacing/>
        <w:jc w:val="center"/>
        <w:rPr>
          <w:rFonts w:hint="eastAsia" w:ascii="宋体" w:hAnsi="宋体" w:eastAsia="宋体" w:cs="宋体"/>
          <w:color w:val="auto"/>
          <w:kern w:val="0"/>
          <w:sz w:val="32"/>
          <w:szCs w:val="32"/>
          <w:highlight w:val="none"/>
          <w:lang w:val="en-US" w:eastAsia="zh-CN" w:bidi="ar"/>
        </w:rPr>
      </w:pPr>
      <w:r>
        <w:rPr>
          <w:rFonts w:hint="eastAsia" w:asciiTheme="minorEastAsia" w:hAnsiTheme="minorEastAsia" w:eastAsiaTheme="minorEastAsia" w:cstheme="minorEastAsia"/>
          <w:bCs/>
          <w:color w:val="auto"/>
          <w:szCs w:val="21"/>
          <w:highlight w:val="none"/>
          <w:lang w:val="en-US" w:eastAsia="zh-CN"/>
        </w:rPr>
        <w:t>注：承诺函或相关证明材料</w:t>
      </w:r>
    </w:p>
    <w:p w14:paraId="1BBA1D36">
      <w:pPr>
        <w:numPr>
          <w:ilvl w:val="0"/>
          <w:numId w:val="0"/>
        </w:num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p>
    <w:p w14:paraId="1EDEB696">
      <w:pPr>
        <w:pStyle w:val="3"/>
        <w:rPr>
          <w:rFonts w:hint="eastAsia" w:ascii="宋体" w:hAnsi="宋体" w:eastAsia="宋体" w:cs="宋体"/>
          <w:color w:val="auto"/>
          <w:kern w:val="0"/>
          <w:sz w:val="32"/>
          <w:szCs w:val="32"/>
          <w:highlight w:val="none"/>
          <w:lang w:val="en-US" w:eastAsia="zh-CN" w:bidi="ar"/>
        </w:rPr>
      </w:pPr>
    </w:p>
    <w:p w14:paraId="551109EE">
      <w:pPr>
        <w:pStyle w:val="4"/>
        <w:rPr>
          <w:rFonts w:hint="eastAsia" w:ascii="宋体" w:hAnsi="宋体" w:eastAsia="宋体" w:cs="宋体"/>
          <w:color w:val="auto"/>
          <w:kern w:val="0"/>
          <w:sz w:val="32"/>
          <w:szCs w:val="32"/>
          <w:highlight w:val="none"/>
          <w:lang w:val="en-US" w:eastAsia="zh-CN" w:bidi="ar"/>
        </w:rPr>
      </w:pPr>
    </w:p>
    <w:p w14:paraId="66F3220E">
      <w:pPr>
        <w:rPr>
          <w:rFonts w:hint="eastAsia" w:ascii="宋体" w:hAnsi="宋体" w:eastAsia="宋体" w:cs="宋体"/>
          <w:color w:val="auto"/>
          <w:kern w:val="0"/>
          <w:sz w:val="32"/>
          <w:szCs w:val="32"/>
          <w:highlight w:val="none"/>
          <w:lang w:val="en-US" w:eastAsia="zh-CN" w:bidi="ar"/>
        </w:rPr>
      </w:pPr>
    </w:p>
    <w:p w14:paraId="29AC0D42">
      <w:pPr>
        <w:pStyle w:val="3"/>
        <w:rPr>
          <w:rFonts w:hint="eastAsia" w:ascii="宋体" w:hAnsi="宋体" w:eastAsia="宋体" w:cs="宋体"/>
          <w:color w:val="auto"/>
          <w:kern w:val="0"/>
          <w:sz w:val="32"/>
          <w:szCs w:val="32"/>
          <w:highlight w:val="none"/>
          <w:lang w:val="en-US" w:eastAsia="zh-CN" w:bidi="ar"/>
        </w:rPr>
      </w:pPr>
    </w:p>
    <w:p w14:paraId="0E3443B1">
      <w:pPr>
        <w:pStyle w:val="4"/>
        <w:rPr>
          <w:rFonts w:hint="eastAsia" w:ascii="宋体" w:hAnsi="宋体" w:eastAsia="宋体" w:cs="宋体"/>
          <w:color w:val="auto"/>
          <w:kern w:val="0"/>
          <w:sz w:val="32"/>
          <w:szCs w:val="32"/>
          <w:highlight w:val="none"/>
          <w:lang w:val="en-US" w:eastAsia="zh-CN" w:bidi="ar"/>
        </w:rPr>
      </w:pPr>
    </w:p>
    <w:p w14:paraId="26DBEFCF">
      <w:pPr>
        <w:rPr>
          <w:rFonts w:hint="eastAsia" w:ascii="宋体" w:hAnsi="宋体" w:eastAsia="宋体" w:cs="宋体"/>
          <w:color w:val="auto"/>
          <w:kern w:val="0"/>
          <w:sz w:val="32"/>
          <w:szCs w:val="32"/>
          <w:highlight w:val="none"/>
          <w:lang w:val="en-US" w:eastAsia="zh-CN" w:bidi="ar"/>
        </w:rPr>
      </w:pPr>
    </w:p>
    <w:p w14:paraId="6C217E98">
      <w:pPr>
        <w:pStyle w:val="3"/>
        <w:rPr>
          <w:rFonts w:hint="eastAsia" w:ascii="宋体" w:hAnsi="宋体" w:eastAsia="宋体" w:cs="宋体"/>
          <w:color w:val="auto"/>
          <w:kern w:val="0"/>
          <w:sz w:val="32"/>
          <w:szCs w:val="32"/>
          <w:highlight w:val="none"/>
          <w:lang w:val="en-US" w:eastAsia="zh-CN" w:bidi="ar"/>
        </w:rPr>
      </w:pPr>
    </w:p>
    <w:p w14:paraId="02A5B9A3">
      <w:pPr>
        <w:pStyle w:val="4"/>
        <w:rPr>
          <w:rFonts w:hint="eastAsia" w:ascii="宋体" w:hAnsi="宋体" w:eastAsia="宋体" w:cs="宋体"/>
          <w:color w:val="auto"/>
          <w:kern w:val="0"/>
          <w:sz w:val="32"/>
          <w:szCs w:val="32"/>
          <w:highlight w:val="none"/>
          <w:lang w:val="en-US" w:eastAsia="zh-CN" w:bidi="ar"/>
        </w:rPr>
      </w:pPr>
    </w:p>
    <w:p w14:paraId="38971B91">
      <w:pPr>
        <w:rPr>
          <w:rFonts w:hint="eastAsia" w:ascii="宋体" w:hAnsi="宋体" w:eastAsia="宋体" w:cs="宋体"/>
          <w:color w:val="auto"/>
          <w:kern w:val="0"/>
          <w:sz w:val="32"/>
          <w:szCs w:val="32"/>
          <w:highlight w:val="none"/>
          <w:lang w:val="en-US" w:eastAsia="zh-CN" w:bidi="ar"/>
        </w:rPr>
      </w:pPr>
    </w:p>
    <w:p w14:paraId="35F5E3AA">
      <w:pPr>
        <w:pStyle w:val="3"/>
        <w:rPr>
          <w:rFonts w:hint="eastAsia"/>
          <w:lang w:val="en-US" w:eastAsia="zh-CN"/>
        </w:rPr>
      </w:pPr>
    </w:p>
    <w:p w14:paraId="109ADB2E">
      <w:pP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br w:type="page"/>
      </w:r>
    </w:p>
    <w:p w14:paraId="19645E77">
      <w:pPr>
        <w:numPr>
          <w:ilvl w:val="0"/>
          <w:numId w:val="0"/>
        </w:num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六、</w:t>
      </w:r>
      <w:r>
        <w:rPr>
          <w:rFonts w:hint="eastAsia" w:ascii="宋体" w:hAnsi="宋体" w:eastAsia="宋体" w:cs="宋体"/>
          <w:color w:val="auto"/>
          <w:kern w:val="0"/>
          <w:sz w:val="32"/>
          <w:szCs w:val="32"/>
          <w:highlight w:val="none"/>
          <w:lang w:val="en-US" w:eastAsia="zh-CN" w:bidi="ar"/>
        </w:rPr>
        <w:t>参加本次比选活动前三年内，在经营活动中没有重大违法违规记录</w:t>
      </w:r>
    </w:p>
    <w:p w14:paraId="3C443296">
      <w:pPr>
        <w:numPr>
          <w:ilvl w:val="0"/>
          <w:numId w:val="0"/>
        </w:numPr>
        <w:adjustRightInd w:val="0"/>
        <w:spacing w:line="276" w:lineRule="auto"/>
        <w:ind w:leftChars="0"/>
        <w:contextualSpacing/>
        <w:jc w:val="center"/>
        <w:rPr>
          <w:rFonts w:hint="eastAsia" w:ascii="宋体" w:hAnsi="宋体" w:eastAsia="宋体" w:cs="宋体"/>
          <w:color w:val="auto"/>
          <w:kern w:val="0"/>
          <w:sz w:val="32"/>
          <w:szCs w:val="32"/>
          <w:highlight w:val="none"/>
          <w:lang w:val="en-US" w:eastAsia="zh-CN" w:bidi="ar"/>
        </w:rPr>
      </w:pPr>
      <w:r>
        <w:rPr>
          <w:rFonts w:hint="eastAsia" w:asciiTheme="minorEastAsia" w:hAnsiTheme="minorEastAsia" w:eastAsiaTheme="minorEastAsia" w:cstheme="minorEastAsia"/>
          <w:bCs/>
          <w:color w:val="auto"/>
          <w:szCs w:val="21"/>
          <w:highlight w:val="none"/>
          <w:lang w:val="en-US" w:eastAsia="zh-CN"/>
        </w:rPr>
        <w:t>注：承诺函或相关证明材料</w:t>
      </w:r>
    </w:p>
    <w:p w14:paraId="37C8B917">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140E9AE0">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80491BC">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3F217589">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67A0577C">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3FE04372">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7236D19E">
      <w:pPr>
        <w:pStyle w:val="3"/>
        <w:rPr>
          <w:rFonts w:hint="eastAsia" w:ascii="宋体" w:hAnsi="宋体" w:eastAsia="宋体" w:cs="宋体"/>
          <w:color w:val="auto"/>
          <w:kern w:val="0"/>
          <w:sz w:val="32"/>
          <w:szCs w:val="32"/>
          <w:highlight w:val="none"/>
          <w:lang w:val="en-US" w:eastAsia="zh-CN" w:bidi="ar"/>
        </w:rPr>
      </w:pPr>
    </w:p>
    <w:p w14:paraId="599CD884">
      <w:pPr>
        <w:pStyle w:val="4"/>
        <w:rPr>
          <w:rFonts w:hint="eastAsia" w:ascii="宋体" w:hAnsi="宋体" w:eastAsia="宋体" w:cs="宋体"/>
          <w:color w:val="auto"/>
          <w:kern w:val="0"/>
          <w:sz w:val="32"/>
          <w:szCs w:val="32"/>
          <w:highlight w:val="none"/>
          <w:lang w:val="en-US" w:eastAsia="zh-CN" w:bidi="ar"/>
        </w:rPr>
      </w:pPr>
    </w:p>
    <w:p w14:paraId="49ED0AC0">
      <w:pPr>
        <w:rPr>
          <w:rFonts w:hint="eastAsia" w:ascii="宋体" w:hAnsi="宋体" w:eastAsia="宋体" w:cs="宋体"/>
          <w:color w:val="auto"/>
          <w:kern w:val="0"/>
          <w:sz w:val="32"/>
          <w:szCs w:val="32"/>
          <w:highlight w:val="none"/>
          <w:lang w:val="en-US" w:eastAsia="zh-CN" w:bidi="ar"/>
        </w:rPr>
      </w:pPr>
    </w:p>
    <w:p w14:paraId="58DD2128">
      <w:pPr>
        <w:pStyle w:val="3"/>
        <w:rPr>
          <w:rFonts w:hint="eastAsia" w:ascii="宋体" w:hAnsi="宋体" w:eastAsia="宋体" w:cs="宋体"/>
          <w:color w:val="auto"/>
          <w:kern w:val="0"/>
          <w:sz w:val="32"/>
          <w:szCs w:val="32"/>
          <w:highlight w:val="none"/>
          <w:lang w:val="en-US" w:eastAsia="zh-CN" w:bidi="ar"/>
        </w:rPr>
      </w:pPr>
    </w:p>
    <w:p w14:paraId="5D3E278B">
      <w:pPr>
        <w:pStyle w:val="4"/>
        <w:rPr>
          <w:rFonts w:hint="eastAsia" w:ascii="宋体" w:hAnsi="宋体" w:eastAsia="宋体" w:cs="宋体"/>
          <w:color w:val="auto"/>
          <w:kern w:val="0"/>
          <w:sz w:val="32"/>
          <w:szCs w:val="32"/>
          <w:highlight w:val="none"/>
          <w:lang w:val="en-US" w:eastAsia="zh-CN" w:bidi="ar"/>
        </w:rPr>
      </w:pPr>
    </w:p>
    <w:p w14:paraId="31003EDB">
      <w:pPr>
        <w:rPr>
          <w:rFonts w:hint="eastAsia" w:ascii="宋体" w:hAnsi="宋体" w:eastAsia="宋体" w:cs="宋体"/>
          <w:color w:val="auto"/>
          <w:kern w:val="0"/>
          <w:sz w:val="32"/>
          <w:szCs w:val="32"/>
          <w:highlight w:val="none"/>
          <w:lang w:val="en-US" w:eastAsia="zh-CN" w:bidi="ar"/>
        </w:rPr>
      </w:pPr>
    </w:p>
    <w:p w14:paraId="722838A8">
      <w:pPr>
        <w:pStyle w:val="3"/>
        <w:rPr>
          <w:rFonts w:hint="eastAsia" w:ascii="宋体" w:hAnsi="宋体" w:eastAsia="宋体" w:cs="宋体"/>
          <w:color w:val="auto"/>
          <w:kern w:val="0"/>
          <w:sz w:val="32"/>
          <w:szCs w:val="32"/>
          <w:highlight w:val="none"/>
          <w:lang w:val="en-US" w:eastAsia="zh-CN" w:bidi="ar"/>
        </w:rPr>
      </w:pPr>
    </w:p>
    <w:p w14:paraId="40749A50">
      <w:pPr>
        <w:pStyle w:val="4"/>
        <w:rPr>
          <w:rFonts w:hint="eastAsia" w:ascii="宋体" w:hAnsi="宋体" w:eastAsia="宋体" w:cs="宋体"/>
          <w:color w:val="auto"/>
          <w:kern w:val="0"/>
          <w:sz w:val="32"/>
          <w:szCs w:val="32"/>
          <w:highlight w:val="none"/>
          <w:lang w:val="en-US" w:eastAsia="zh-CN" w:bidi="ar"/>
        </w:rPr>
      </w:pPr>
    </w:p>
    <w:p w14:paraId="6C45C619">
      <w:pPr>
        <w:rPr>
          <w:rFonts w:hint="eastAsia" w:ascii="宋体" w:hAnsi="宋体" w:eastAsia="宋体" w:cs="宋体"/>
          <w:color w:val="auto"/>
          <w:kern w:val="0"/>
          <w:sz w:val="32"/>
          <w:szCs w:val="32"/>
          <w:highlight w:val="none"/>
          <w:lang w:val="en-US" w:eastAsia="zh-CN" w:bidi="ar"/>
        </w:rPr>
      </w:pPr>
    </w:p>
    <w:p w14:paraId="3E58F545">
      <w:pPr>
        <w:pStyle w:val="3"/>
        <w:rPr>
          <w:rFonts w:hint="eastAsia" w:ascii="宋体" w:hAnsi="宋体" w:eastAsia="宋体" w:cs="宋体"/>
          <w:color w:val="auto"/>
          <w:kern w:val="0"/>
          <w:sz w:val="32"/>
          <w:szCs w:val="32"/>
          <w:highlight w:val="none"/>
          <w:lang w:val="en-US" w:eastAsia="zh-CN" w:bidi="ar"/>
        </w:rPr>
      </w:pPr>
    </w:p>
    <w:p w14:paraId="76A87682">
      <w:pPr>
        <w:pStyle w:val="4"/>
        <w:rPr>
          <w:rFonts w:hint="eastAsia" w:ascii="宋体" w:hAnsi="宋体" w:eastAsia="宋体" w:cs="宋体"/>
          <w:color w:val="auto"/>
          <w:kern w:val="0"/>
          <w:sz w:val="32"/>
          <w:szCs w:val="32"/>
          <w:highlight w:val="none"/>
          <w:lang w:val="en-US" w:eastAsia="zh-CN" w:bidi="ar"/>
        </w:rPr>
      </w:pPr>
    </w:p>
    <w:p w14:paraId="2D86451D">
      <w:pPr>
        <w:rPr>
          <w:rFonts w:hint="eastAsia"/>
          <w:lang w:val="en-US" w:eastAsia="zh-CN"/>
        </w:rPr>
      </w:pPr>
    </w:p>
    <w:p w14:paraId="13582225">
      <w:pPr>
        <w:numPr>
          <w:ilvl w:val="0"/>
          <w:numId w:val="0"/>
        </w:num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br w:type="textWrapping"/>
      </w:r>
      <w:r>
        <w:rPr>
          <w:rFonts w:hint="eastAsia" w:ascii="宋体" w:hAnsi="宋体" w:eastAsia="宋体" w:cs="宋体"/>
          <w:color w:val="auto"/>
          <w:kern w:val="0"/>
          <w:sz w:val="32"/>
          <w:szCs w:val="32"/>
          <w:highlight w:val="none"/>
          <w:lang w:val="en-US" w:eastAsia="zh-CN" w:bidi="ar"/>
        </w:rPr>
        <w:t>七、法律、行政法规规定的其他条件</w:t>
      </w:r>
    </w:p>
    <w:p w14:paraId="43D4C234">
      <w:pPr>
        <w:numPr>
          <w:ilvl w:val="0"/>
          <w:numId w:val="0"/>
        </w:numPr>
        <w:adjustRightInd w:val="0"/>
        <w:spacing w:line="276" w:lineRule="auto"/>
        <w:ind w:leftChars="0"/>
        <w:contextualSpacing/>
        <w:jc w:val="center"/>
        <w:rPr>
          <w:rFonts w:hint="eastAsia" w:ascii="宋体" w:hAnsi="宋体" w:eastAsia="宋体" w:cs="宋体"/>
          <w:color w:val="auto"/>
          <w:kern w:val="0"/>
          <w:sz w:val="32"/>
          <w:szCs w:val="32"/>
          <w:highlight w:val="none"/>
          <w:lang w:val="en-US" w:eastAsia="zh-CN" w:bidi="ar"/>
        </w:rPr>
      </w:pPr>
      <w:r>
        <w:rPr>
          <w:rFonts w:hint="eastAsia" w:asciiTheme="minorEastAsia" w:hAnsiTheme="minorEastAsia" w:eastAsiaTheme="minorEastAsia" w:cstheme="minorEastAsia"/>
          <w:bCs/>
          <w:color w:val="auto"/>
          <w:szCs w:val="21"/>
          <w:highlight w:val="none"/>
          <w:lang w:val="en-US" w:eastAsia="zh-CN"/>
        </w:rPr>
        <w:t>注：承诺函或相关证明材料</w:t>
      </w:r>
    </w:p>
    <w:p w14:paraId="095F4DF4">
      <w:pPr>
        <w:pStyle w:val="3"/>
        <w:rPr>
          <w:rFonts w:hint="eastAsia"/>
          <w:lang w:val="en-US" w:eastAsia="zh-CN"/>
        </w:rPr>
      </w:pPr>
    </w:p>
    <w:p w14:paraId="66932E59">
      <w:pPr>
        <w:pStyle w:val="4"/>
        <w:rPr>
          <w:rFonts w:hint="eastAsia"/>
          <w:lang w:val="en-US" w:eastAsia="zh-CN"/>
        </w:rPr>
      </w:pPr>
    </w:p>
    <w:p w14:paraId="29A5CB52">
      <w:pPr>
        <w:rPr>
          <w:rFonts w:hint="eastAsia"/>
          <w:lang w:val="en-US" w:eastAsia="zh-CN"/>
        </w:rPr>
      </w:pPr>
    </w:p>
    <w:p w14:paraId="33504C00">
      <w:pPr>
        <w:pStyle w:val="3"/>
        <w:rPr>
          <w:rFonts w:hint="eastAsia"/>
          <w:lang w:val="en-US" w:eastAsia="zh-CN"/>
        </w:rPr>
      </w:pPr>
    </w:p>
    <w:p w14:paraId="33141AF2">
      <w:pPr>
        <w:pStyle w:val="4"/>
        <w:rPr>
          <w:rFonts w:hint="eastAsia"/>
          <w:lang w:val="en-US" w:eastAsia="zh-CN"/>
        </w:rPr>
      </w:pPr>
    </w:p>
    <w:p w14:paraId="6B023637">
      <w:pPr>
        <w:rPr>
          <w:rFonts w:hint="eastAsia"/>
          <w:lang w:val="en-US" w:eastAsia="zh-CN"/>
        </w:rPr>
      </w:pPr>
    </w:p>
    <w:p w14:paraId="7E96C73A">
      <w:pPr>
        <w:pStyle w:val="3"/>
        <w:rPr>
          <w:rFonts w:hint="eastAsia"/>
          <w:lang w:val="en-US" w:eastAsia="zh-CN"/>
        </w:rPr>
      </w:pPr>
    </w:p>
    <w:p w14:paraId="5E74B413">
      <w:pPr>
        <w:pStyle w:val="4"/>
        <w:rPr>
          <w:rFonts w:hint="eastAsia"/>
          <w:lang w:val="en-US" w:eastAsia="zh-CN"/>
        </w:rPr>
      </w:pPr>
    </w:p>
    <w:p w14:paraId="4DC9CAF3">
      <w:pPr>
        <w:rPr>
          <w:rFonts w:hint="eastAsia"/>
          <w:lang w:val="en-US" w:eastAsia="zh-CN"/>
        </w:rPr>
      </w:pPr>
    </w:p>
    <w:p w14:paraId="189A8303">
      <w:pPr>
        <w:pStyle w:val="3"/>
        <w:rPr>
          <w:rFonts w:hint="eastAsia"/>
          <w:lang w:val="en-US" w:eastAsia="zh-CN"/>
        </w:rPr>
      </w:pPr>
    </w:p>
    <w:p w14:paraId="03AB4197">
      <w:pPr>
        <w:pStyle w:val="4"/>
        <w:rPr>
          <w:rFonts w:hint="eastAsia"/>
          <w:lang w:val="en-US" w:eastAsia="zh-CN"/>
        </w:rPr>
      </w:pPr>
    </w:p>
    <w:p w14:paraId="52DFEC01">
      <w:pPr>
        <w:rPr>
          <w:rFonts w:hint="eastAsia"/>
          <w:lang w:val="en-US" w:eastAsia="zh-CN"/>
        </w:rPr>
      </w:pPr>
    </w:p>
    <w:p w14:paraId="61D66E2F">
      <w:pPr>
        <w:pStyle w:val="3"/>
        <w:rPr>
          <w:rFonts w:hint="eastAsia"/>
          <w:lang w:val="en-US" w:eastAsia="zh-CN"/>
        </w:rPr>
      </w:pPr>
    </w:p>
    <w:p w14:paraId="3849F416">
      <w:pPr>
        <w:pStyle w:val="4"/>
        <w:rPr>
          <w:rFonts w:hint="eastAsia"/>
          <w:lang w:val="en-US" w:eastAsia="zh-CN"/>
        </w:rPr>
      </w:pPr>
    </w:p>
    <w:p w14:paraId="5F0DBF49">
      <w:pPr>
        <w:rPr>
          <w:rFonts w:hint="eastAsia"/>
          <w:lang w:val="en-US" w:eastAsia="zh-CN"/>
        </w:rPr>
      </w:pPr>
    </w:p>
    <w:p w14:paraId="17EC43BA">
      <w:pPr>
        <w:pStyle w:val="3"/>
        <w:rPr>
          <w:rFonts w:hint="eastAsia"/>
          <w:lang w:val="en-US" w:eastAsia="zh-CN"/>
        </w:rPr>
      </w:pPr>
    </w:p>
    <w:p w14:paraId="49347125">
      <w:pPr>
        <w:pStyle w:val="4"/>
        <w:rPr>
          <w:rFonts w:hint="eastAsia"/>
          <w:lang w:val="en-US" w:eastAsia="zh-CN"/>
        </w:rPr>
      </w:pPr>
    </w:p>
    <w:p w14:paraId="3D4F7D89">
      <w:pPr>
        <w:rPr>
          <w:rFonts w:hint="eastAsia"/>
          <w:lang w:val="en-US" w:eastAsia="zh-CN"/>
        </w:rPr>
      </w:pPr>
    </w:p>
    <w:p w14:paraId="02165156">
      <w:pPr>
        <w:pStyle w:val="3"/>
        <w:rPr>
          <w:rFonts w:hint="eastAsia"/>
          <w:lang w:val="en-US" w:eastAsia="zh-CN"/>
        </w:rPr>
      </w:pPr>
    </w:p>
    <w:p w14:paraId="1771771D">
      <w:pPr>
        <w:pStyle w:val="4"/>
        <w:rPr>
          <w:rFonts w:hint="eastAsia"/>
          <w:lang w:val="en-US" w:eastAsia="zh-CN"/>
        </w:rPr>
      </w:pPr>
    </w:p>
    <w:p w14:paraId="2BC1141C">
      <w:pPr>
        <w:rPr>
          <w:rFonts w:hint="eastAsia"/>
          <w:lang w:val="en-US" w:eastAsia="zh-CN"/>
        </w:rPr>
      </w:pPr>
    </w:p>
    <w:p w14:paraId="0FD7615A">
      <w:pPr>
        <w:pStyle w:val="3"/>
        <w:rPr>
          <w:rFonts w:hint="eastAsia"/>
          <w:lang w:val="en-US" w:eastAsia="zh-CN"/>
        </w:rPr>
      </w:pPr>
    </w:p>
    <w:p w14:paraId="65065E38">
      <w:pPr>
        <w:pStyle w:val="4"/>
        <w:rPr>
          <w:rFonts w:hint="eastAsia"/>
          <w:lang w:val="en-US" w:eastAsia="zh-CN"/>
        </w:rPr>
      </w:pPr>
    </w:p>
    <w:p w14:paraId="36B50517">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八、</w:t>
      </w:r>
      <w:r>
        <w:rPr>
          <w:rFonts w:hint="eastAsia" w:ascii="宋体" w:hAnsi="宋体" w:eastAsia="宋体" w:cs="宋体"/>
          <w:color w:val="auto"/>
          <w:kern w:val="0"/>
          <w:sz w:val="32"/>
          <w:szCs w:val="32"/>
          <w:highlight w:val="none"/>
          <w:lang w:val="en-US" w:eastAsia="zh-CN" w:bidi="ar"/>
        </w:rPr>
        <w:t>比选人根据采购项目提出的特殊条件：参选人为农药生产厂家的须具有有效的《农药生产许可证》；参选人为非农药生产厂家的须需具有有效的《危险化学品经营许可证》或有效的《农药经营许可证》</w:t>
      </w:r>
    </w:p>
    <w:p w14:paraId="56F9976B">
      <w:pPr>
        <w:keepNext w:val="0"/>
        <w:keepLines w:val="0"/>
        <w:widowControl/>
        <w:numPr>
          <w:ilvl w:val="0"/>
          <w:numId w:val="0"/>
        </w:numPr>
        <w:suppressLineNumbers w:val="0"/>
        <w:shd w:val="clear" w:fill="FFFFFF"/>
        <w:ind w:left="0" w:leftChars="0" w:firstLine="0" w:firstLineChars="0"/>
        <w:jc w:val="center"/>
        <w:rPr>
          <w:rFonts w:hint="eastAsia" w:asciiTheme="minorEastAsia" w:hAnsiTheme="minorEastAsia" w:cstheme="minorEastAsia"/>
          <w:bCs/>
          <w:color w:val="auto"/>
          <w:szCs w:val="21"/>
          <w:highlight w:val="none"/>
          <w:lang w:val="en-US" w:eastAsia="zh-CN"/>
        </w:rPr>
      </w:pPr>
    </w:p>
    <w:p w14:paraId="501CB43F">
      <w:pPr>
        <w:keepNext w:val="0"/>
        <w:keepLines w:val="0"/>
        <w:widowControl/>
        <w:numPr>
          <w:ilvl w:val="0"/>
          <w:numId w:val="0"/>
        </w:numPr>
        <w:suppressLineNumbers w:val="0"/>
        <w:shd w:val="clear" w:fill="FFFFFF"/>
        <w:ind w:left="0" w:leftChars="0" w:firstLine="0" w:firstLineChars="0"/>
        <w:jc w:val="center"/>
        <w:rPr>
          <w:rFonts w:hint="eastAsia" w:asciiTheme="minorEastAsia" w:hAnsiTheme="minorEastAsia" w:cstheme="minorEastAsia"/>
          <w:bCs/>
          <w:color w:val="auto"/>
          <w:szCs w:val="21"/>
          <w:highlight w:val="none"/>
          <w:lang w:val="en-US" w:eastAsia="zh-CN"/>
        </w:rPr>
      </w:pPr>
    </w:p>
    <w:p w14:paraId="4EA6CBDA">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r>
        <w:rPr>
          <w:rFonts w:hint="eastAsia" w:asciiTheme="minorEastAsia" w:hAnsiTheme="minorEastAsia" w:cstheme="minorEastAsia"/>
          <w:bCs/>
          <w:color w:val="auto"/>
          <w:szCs w:val="21"/>
          <w:highlight w:val="none"/>
          <w:lang w:val="en-US" w:eastAsia="zh-CN"/>
        </w:rPr>
        <w:t>注：</w:t>
      </w:r>
      <w:r>
        <w:rPr>
          <w:rFonts w:hint="eastAsia" w:asciiTheme="minorEastAsia" w:hAnsiTheme="minorEastAsia" w:eastAsiaTheme="minorEastAsia" w:cstheme="minorEastAsia"/>
          <w:bCs/>
          <w:color w:val="auto"/>
          <w:szCs w:val="21"/>
          <w:highlight w:val="none"/>
          <w:lang w:val="en-US" w:eastAsia="zh-CN"/>
        </w:rPr>
        <w:t>参选人为农药生产厂家的须提供有效的《农药生产许可证》；参选人为非农药生产厂家的须提供需具有有效的《危险化学品经营许可证》或提供有效的《农药经营许可证》</w:t>
      </w:r>
    </w:p>
    <w:p w14:paraId="4F57A50F">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p>
    <w:p w14:paraId="0ACBBA13">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p>
    <w:p w14:paraId="647EBE2C">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p>
    <w:p w14:paraId="4C550AF4">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p>
    <w:p w14:paraId="11954471">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A963F34">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6AE649D">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619EF347">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35A76C88">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F2E0C45">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2E519870">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2C8FD72F">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28ED8B0C">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F1A0CA9">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250AAEC">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6D2D4B96">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br w:type="textWrapping"/>
      </w:r>
      <w:r>
        <w:rPr>
          <w:rFonts w:hint="eastAsia" w:ascii="宋体" w:hAnsi="宋体" w:eastAsia="宋体" w:cs="宋体"/>
          <w:color w:val="auto"/>
          <w:kern w:val="0"/>
          <w:sz w:val="32"/>
          <w:szCs w:val="32"/>
          <w:highlight w:val="none"/>
          <w:lang w:val="en-US" w:eastAsia="zh-CN" w:bidi="ar"/>
        </w:rPr>
        <w:t>       </w:t>
      </w:r>
    </w:p>
    <w:p w14:paraId="11D77DB7">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九、</w:t>
      </w:r>
      <w:r>
        <w:rPr>
          <w:rFonts w:hint="eastAsia" w:ascii="宋体" w:hAnsi="宋体" w:eastAsia="宋体" w:cs="宋体"/>
          <w:color w:val="auto"/>
          <w:kern w:val="0"/>
          <w:sz w:val="32"/>
          <w:szCs w:val="32"/>
          <w:highlight w:val="none"/>
          <w:lang w:val="en-US" w:eastAsia="zh-CN" w:bidi="ar"/>
        </w:rPr>
        <w:t>禁止参加本次采购活动的参选人：参选人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1FFBE2A9">
      <w:pPr>
        <w:pStyle w:val="3"/>
        <w:rPr>
          <w:rFonts w:hint="eastAsia"/>
          <w:lang w:val="en-US" w:eastAsia="zh-CN"/>
        </w:rPr>
      </w:pPr>
    </w:p>
    <w:p w14:paraId="265E5BF4">
      <w:pP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cstheme="minorEastAsia"/>
          <w:bCs/>
          <w:color w:val="auto"/>
          <w:szCs w:val="21"/>
          <w:highlight w:val="none"/>
          <w:lang w:val="en-US" w:eastAsia="zh-CN"/>
        </w:rPr>
        <w:t>注：</w:t>
      </w:r>
      <w:r>
        <w:rPr>
          <w:rFonts w:hint="eastAsia" w:asciiTheme="minorEastAsia" w:hAnsiTheme="minorEastAsia" w:eastAsiaTheme="minorEastAsia" w:cstheme="minorEastAsia"/>
          <w:bCs/>
          <w:color w:val="auto"/>
          <w:szCs w:val="21"/>
          <w:highlight w:val="none"/>
          <w:lang w:val="en-US" w:eastAsia="zh-CN"/>
        </w:rPr>
        <w:t>参选人在“信用中国”网站（www.creditchina.gov.cn）、中国政府采购网(www.ccgp.gov.cn)查询并打印相应信用记录。（上述网站获取的信息查询结果原始页面的打印件或截图），非企业参与时由参选人在报价文件中自行提供承诺函，格式自拟</w:t>
      </w:r>
    </w:p>
    <w:p w14:paraId="29C7B68D">
      <w:pPr>
        <w:keepNext w:val="0"/>
        <w:keepLines w:val="0"/>
        <w:widowControl/>
        <w:numPr>
          <w:ilvl w:val="0"/>
          <w:numId w:val="0"/>
        </w:numPr>
        <w:suppressLineNumbers w:val="0"/>
        <w:shd w:val="clear" w:fill="FFFFFF"/>
        <w:ind w:leftChars="0"/>
        <w:jc w:val="both"/>
        <w:rPr>
          <w:rFonts w:hint="eastAsia" w:ascii="宋体" w:hAnsi="宋体" w:eastAsia="宋体" w:cs="宋体"/>
          <w:b/>
          <w:bCs/>
          <w:sz w:val="28"/>
          <w:szCs w:val="28"/>
          <w:lang w:val="en-US" w:eastAsia="zh-CN"/>
        </w:rPr>
      </w:pPr>
    </w:p>
    <w:p w14:paraId="52BD29AA">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b/>
          <w:bCs/>
          <w:sz w:val="28"/>
          <w:szCs w:val="28"/>
          <w:lang w:val="en-US" w:eastAsia="zh-CN"/>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br w:type="textWrapping"/>
      </w:r>
    </w:p>
    <w:p w14:paraId="7B9BA3EB">
      <w:pPr>
        <w:rPr>
          <w:rFonts w:hint="eastAsia" w:ascii="宋体" w:hAnsi="宋体" w:eastAsia="宋体" w:cs="宋体"/>
          <w:b/>
          <w:bCs/>
          <w:sz w:val="28"/>
          <w:szCs w:val="28"/>
          <w:lang w:val="en-US" w:eastAsia="zh-CN"/>
        </w:rPr>
      </w:pPr>
    </w:p>
    <w:p w14:paraId="72620F99">
      <w:pPr>
        <w:rPr>
          <w:rFonts w:hint="eastAsia" w:ascii="宋体" w:hAnsi="宋体" w:eastAsia="宋体" w:cs="宋体"/>
          <w:b/>
          <w:bCs/>
          <w:sz w:val="28"/>
          <w:szCs w:val="28"/>
          <w:lang w:val="en-US" w:eastAsia="zh-CN"/>
        </w:rPr>
      </w:pPr>
    </w:p>
    <w:p w14:paraId="40A29B98">
      <w:pPr>
        <w:rPr>
          <w:rFonts w:hint="eastAsia" w:ascii="微软雅黑" w:hAnsi="微软雅黑" w:eastAsia="微软雅黑" w:cs="微软雅黑"/>
          <w:i w:val="0"/>
          <w:iCs w:val="0"/>
          <w:caps w:val="0"/>
          <w:color w:val="000000"/>
          <w:spacing w:val="0"/>
          <w:kern w:val="0"/>
          <w:sz w:val="19"/>
          <w:szCs w:val="19"/>
          <w:shd w:val="clear" w:fill="FFFFFF"/>
          <w:lang w:val="en-US" w:eastAsia="zh-CN" w:bidi="ar"/>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br w:type="textWrapping"/>
      </w:r>
    </w:p>
    <w:p w14:paraId="2FFB567D">
      <w:pPr>
        <w:pStyle w:val="3"/>
        <w:rPr>
          <w:rFonts w:hint="eastAsia"/>
          <w:lang w:val="en-US" w:eastAsia="zh-CN"/>
        </w:rPr>
      </w:pPr>
    </w:p>
    <w:p w14:paraId="587EBE72">
      <w:pPr>
        <w:pStyle w:val="4"/>
        <w:rPr>
          <w:rFonts w:hint="eastAsia"/>
          <w:lang w:val="en-US" w:eastAsia="zh-CN"/>
        </w:rPr>
      </w:pPr>
    </w:p>
    <w:p w14:paraId="783C208F">
      <w:pPr>
        <w:rPr>
          <w:rFonts w:hint="eastAsia"/>
          <w:lang w:val="en-US" w:eastAsia="zh-CN"/>
        </w:rPr>
      </w:pPr>
    </w:p>
    <w:p w14:paraId="7B7EFEDA">
      <w:pPr>
        <w:pStyle w:val="3"/>
        <w:rPr>
          <w:rFonts w:hint="eastAsia"/>
          <w:lang w:val="en-US" w:eastAsia="zh-CN"/>
        </w:rPr>
      </w:pPr>
    </w:p>
    <w:p w14:paraId="566E293C">
      <w:pPr>
        <w:pStyle w:val="4"/>
        <w:rPr>
          <w:rFonts w:hint="eastAsia"/>
          <w:lang w:val="en-US" w:eastAsia="zh-CN"/>
        </w:rPr>
      </w:pPr>
    </w:p>
    <w:p w14:paraId="320B19E2">
      <w:pPr>
        <w:rPr>
          <w:rFonts w:hint="eastAsia"/>
          <w:lang w:val="en-US" w:eastAsia="zh-CN"/>
        </w:rPr>
      </w:pPr>
    </w:p>
    <w:p w14:paraId="655E037F">
      <w:pPr>
        <w:pStyle w:val="3"/>
        <w:rPr>
          <w:rFonts w:hint="eastAsia"/>
          <w:lang w:val="en-US" w:eastAsia="zh-CN"/>
        </w:rPr>
      </w:pPr>
    </w:p>
    <w:p w14:paraId="0AAACCCB">
      <w:pPr>
        <w:pStyle w:val="4"/>
        <w:rPr>
          <w:rFonts w:hint="eastAsia"/>
          <w:lang w:val="en-US" w:eastAsia="zh-CN"/>
        </w:rPr>
      </w:pPr>
    </w:p>
    <w:p w14:paraId="36F0A2CE">
      <w:pPr>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十、法定代表人授权委托书原件(参选人代表是法定代表人的无需提供)</w:t>
      </w:r>
    </w:p>
    <w:p w14:paraId="1523A11A">
      <w:pPr>
        <w:bidi w:val="0"/>
        <w:rPr>
          <w:rFonts w:hint="eastAsia" w:ascii="宋体" w:hAnsi="宋体" w:eastAsia="宋体" w:cs="宋体"/>
          <w:kern w:val="2"/>
          <w:sz w:val="21"/>
          <w:szCs w:val="24"/>
          <w:lang w:val="en-US" w:eastAsia="zh-CN" w:bidi="ar-SA"/>
        </w:rPr>
      </w:pPr>
    </w:p>
    <w:p w14:paraId="234BE286">
      <w:pPr>
        <w:bidi w:val="0"/>
        <w:rPr>
          <w:rFonts w:hint="eastAsia" w:ascii="宋体" w:hAnsi="宋体" w:eastAsia="宋体" w:cs="宋体"/>
          <w:lang w:val="en-US" w:eastAsia="zh-CN"/>
        </w:rPr>
      </w:pPr>
    </w:p>
    <w:p w14:paraId="47B80EFB">
      <w:pPr>
        <w:bidi w:val="0"/>
        <w:rPr>
          <w:rFonts w:hint="eastAsia" w:ascii="宋体" w:hAnsi="宋体" w:eastAsia="宋体" w:cs="宋体"/>
          <w:lang w:val="en-US" w:eastAsia="zh-CN"/>
        </w:rPr>
      </w:pPr>
    </w:p>
    <w:p w14:paraId="6D7411CF">
      <w:pPr>
        <w:bidi w:val="0"/>
        <w:rPr>
          <w:rFonts w:hint="eastAsia" w:ascii="宋体" w:hAnsi="宋体" w:eastAsia="宋体" w:cs="宋体"/>
          <w:lang w:val="en-US" w:eastAsia="zh-CN"/>
        </w:rPr>
      </w:pPr>
    </w:p>
    <w:p w14:paraId="410BFB78">
      <w:pPr>
        <w:bidi w:val="0"/>
        <w:rPr>
          <w:rFonts w:hint="eastAsia" w:ascii="宋体" w:hAnsi="宋体" w:eastAsia="宋体" w:cs="宋体"/>
          <w:lang w:val="en-US" w:eastAsia="zh-CN"/>
        </w:rPr>
      </w:pPr>
    </w:p>
    <w:p w14:paraId="6BB3AEC8">
      <w:pPr>
        <w:bidi w:val="0"/>
        <w:rPr>
          <w:rFonts w:hint="eastAsia" w:ascii="宋体" w:hAnsi="宋体" w:eastAsia="宋体" w:cs="宋体"/>
          <w:lang w:val="en-US" w:eastAsia="zh-CN"/>
        </w:rPr>
      </w:pPr>
    </w:p>
    <w:p w14:paraId="713CE258">
      <w:pPr>
        <w:bidi w:val="0"/>
        <w:rPr>
          <w:rFonts w:hint="eastAsia" w:ascii="宋体" w:hAnsi="宋体" w:eastAsia="宋体" w:cs="宋体"/>
          <w:lang w:val="en-US" w:eastAsia="zh-CN"/>
        </w:rPr>
      </w:pPr>
    </w:p>
    <w:p w14:paraId="2682C3C2">
      <w:pPr>
        <w:bidi w:val="0"/>
        <w:rPr>
          <w:rFonts w:hint="eastAsia" w:ascii="宋体" w:hAnsi="宋体" w:eastAsia="宋体" w:cs="宋体"/>
          <w:lang w:val="en-US" w:eastAsia="zh-CN"/>
        </w:rPr>
      </w:pPr>
    </w:p>
    <w:p w14:paraId="7C258E80">
      <w:pPr>
        <w:bidi w:val="0"/>
        <w:rPr>
          <w:rFonts w:hint="eastAsia" w:ascii="宋体" w:hAnsi="宋体" w:eastAsia="宋体" w:cs="宋体"/>
          <w:lang w:val="en-US" w:eastAsia="zh-CN"/>
        </w:rPr>
      </w:pPr>
    </w:p>
    <w:p w14:paraId="341F4D9A">
      <w:pPr>
        <w:bidi w:val="0"/>
        <w:rPr>
          <w:rFonts w:hint="eastAsia" w:ascii="宋体" w:hAnsi="宋体" w:eastAsia="宋体" w:cs="宋体"/>
          <w:lang w:val="en-US" w:eastAsia="zh-CN"/>
        </w:rPr>
      </w:pPr>
    </w:p>
    <w:p w14:paraId="2E5B19A9">
      <w:pPr>
        <w:bidi w:val="0"/>
        <w:rPr>
          <w:rFonts w:hint="eastAsia" w:ascii="宋体" w:hAnsi="宋体" w:eastAsia="宋体" w:cs="宋体"/>
          <w:lang w:val="en-US" w:eastAsia="zh-CN"/>
        </w:rPr>
      </w:pPr>
    </w:p>
    <w:p w14:paraId="0376FC65">
      <w:pPr>
        <w:bidi w:val="0"/>
        <w:rPr>
          <w:rFonts w:hint="eastAsia" w:ascii="宋体" w:hAnsi="宋体" w:eastAsia="宋体" w:cs="宋体"/>
          <w:lang w:val="en-US" w:eastAsia="zh-CN"/>
        </w:rPr>
      </w:pPr>
    </w:p>
    <w:p w14:paraId="30D4E5A2">
      <w:pPr>
        <w:bidi w:val="0"/>
        <w:rPr>
          <w:rFonts w:hint="eastAsia" w:ascii="宋体" w:hAnsi="宋体" w:eastAsia="宋体" w:cs="宋体"/>
          <w:lang w:val="en-US" w:eastAsia="zh-CN"/>
        </w:rPr>
      </w:pPr>
    </w:p>
    <w:p w14:paraId="386652EE">
      <w:pPr>
        <w:bidi w:val="0"/>
        <w:rPr>
          <w:rFonts w:hint="eastAsia" w:ascii="宋体" w:hAnsi="宋体" w:eastAsia="宋体" w:cs="宋体"/>
          <w:lang w:val="en-US" w:eastAsia="zh-CN"/>
        </w:rPr>
      </w:pPr>
    </w:p>
    <w:p w14:paraId="49388C93">
      <w:pPr>
        <w:bidi w:val="0"/>
        <w:rPr>
          <w:rFonts w:hint="eastAsia" w:ascii="宋体" w:hAnsi="宋体" w:eastAsia="宋体" w:cs="宋体"/>
          <w:lang w:val="en-US" w:eastAsia="zh-CN"/>
        </w:rPr>
      </w:pPr>
    </w:p>
    <w:p w14:paraId="6DCEB3EE">
      <w:pPr>
        <w:bidi w:val="0"/>
        <w:rPr>
          <w:rFonts w:hint="eastAsia" w:ascii="宋体" w:hAnsi="宋体" w:eastAsia="宋体" w:cs="宋体"/>
          <w:lang w:val="en-US" w:eastAsia="zh-CN"/>
        </w:rPr>
      </w:pPr>
    </w:p>
    <w:p w14:paraId="7F694975">
      <w:pPr>
        <w:bidi w:val="0"/>
        <w:rPr>
          <w:rFonts w:hint="eastAsia" w:ascii="宋体" w:hAnsi="宋体" w:eastAsia="宋体" w:cs="宋体"/>
          <w:lang w:val="en-US" w:eastAsia="zh-CN"/>
        </w:rPr>
      </w:pPr>
    </w:p>
    <w:p w14:paraId="7F18E395">
      <w:pPr>
        <w:bidi w:val="0"/>
        <w:rPr>
          <w:rFonts w:hint="eastAsia" w:ascii="宋体" w:hAnsi="宋体" w:eastAsia="宋体" w:cs="宋体"/>
          <w:lang w:val="en-US" w:eastAsia="zh-CN"/>
        </w:rPr>
      </w:pPr>
    </w:p>
    <w:p w14:paraId="46457C0E">
      <w:pPr>
        <w:bidi w:val="0"/>
        <w:rPr>
          <w:rFonts w:hint="eastAsia" w:ascii="宋体" w:hAnsi="宋体" w:eastAsia="宋体" w:cs="宋体"/>
          <w:lang w:val="en-US" w:eastAsia="zh-CN"/>
        </w:rPr>
      </w:pPr>
    </w:p>
    <w:p w14:paraId="4AD3F069">
      <w:pPr>
        <w:bidi w:val="0"/>
        <w:rPr>
          <w:rFonts w:hint="eastAsia" w:ascii="宋体" w:hAnsi="宋体" w:eastAsia="宋体" w:cs="宋体"/>
          <w:lang w:val="en-US" w:eastAsia="zh-CN"/>
        </w:rPr>
      </w:pPr>
    </w:p>
    <w:p w14:paraId="0DD3281A">
      <w:pPr>
        <w:bidi w:val="0"/>
        <w:rPr>
          <w:rFonts w:hint="eastAsia" w:ascii="宋体" w:hAnsi="宋体" w:eastAsia="宋体" w:cs="宋体"/>
          <w:lang w:val="en-US" w:eastAsia="zh-CN"/>
        </w:rPr>
      </w:pPr>
    </w:p>
    <w:p w14:paraId="3AC5149E">
      <w:pPr>
        <w:bidi w:val="0"/>
        <w:rPr>
          <w:rFonts w:hint="eastAsia" w:ascii="宋体" w:hAnsi="宋体" w:eastAsia="宋体" w:cs="宋体"/>
          <w:lang w:val="en-US" w:eastAsia="zh-CN"/>
        </w:rPr>
      </w:pPr>
    </w:p>
    <w:p w14:paraId="7074D576">
      <w:pPr>
        <w:bidi w:val="0"/>
        <w:rPr>
          <w:rFonts w:hint="eastAsia" w:ascii="宋体" w:hAnsi="宋体" w:eastAsia="宋体" w:cs="宋体"/>
          <w:lang w:val="en-US" w:eastAsia="zh-CN"/>
        </w:rPr>
      </w:pPr>
    </w:p>
    <w:p w14:paraId="603C9879">
      <w:pPr>
        <w:bidi w:val="0"/>
        <w:rPr>
          <w:rFonts w:hint="eastAsia" w:ascii="宋体" w:hAnsi="宋体" w:eastAsia="宋体" w:cs="宋体"/>
          <w:lang w:val="en-US" w:eastAsia="zh-CN"/>
        </w:rPr>
      </w:pPr>
    </w:p>
    <w:p w14:paraId="7CC00C3F">
      <w:pPr>
        <w:bidi w:val="0"/>
        <w:rPr>
          <w:rFonts w:hint="eastAsia" w:ascii="宋体" w:hAnsi="宋体" w:eastAsia="宋体" w:cs="宋体"/>
          <w:lang w:val="en-US" w:eastAsia="zh-CN"/>
        </w:rPr>
      </w:pPr>
    </w:p>
    <w:p w14:paraId="30D140D1">
      <w:pPr>
        <w:bidi w:val="0"/>
        <w:rPr>
          <w:rFonts w:hint="eastAsia" w:ascii="宋体" w:hAnsi="宋体" w:eastAsia="宋体" w:cs="宋体"/>
          <w:lang w:val="en-US" w:eastAsia="zh-CN"/>
        </w:rPr>
      </w:pPr>
    </w:p>
    <w:p w14:paraId="35D6794C">
      <w:pPr>
        <w:bidi w:val="0"/>
        <w:rPr>
          <w:rFonts w:hint="eastAsia" w:ascii="宋体" w:hAnsi="宋体" w:eastAsia="宋体" w:cs="宋体"/>
          <w:lang w:val="en-US" w:eastAsia="zh-CN"/>
        </w:rPr>
      </w:pPr>
    </w:p>
    <w:p w14:paraId="344F055D">
      <w:pPr>
        <w:bidi w:val="0"/>
        <w:rPr>
          <w:rFonts w:hint="eastAsia" w:ascii="宋体" w:hAnsi="宋体" w:eastAsia="宋体" w:cs="宋体"/>
          <w:lang w:val="en-US" w:eastAsia="zh-CN"/>
        </w:rPr>
      </w:pPr>
    </w:p>
    <w:p w14:paraId="749ABA94">
      <w:pPr>
        <w:bidi w:val="0"/>
        <w:rPr>
          <w:rFonts w:hint="eastAsia" w:ascii="宋体" w:hAnsi="宋体" w:eastAsia="宋体" w:cs="宋体"/>
          <w:lang w:val="en-US" w:eastAsia="zh-CN"/>
        </w:rPr>
      </w:pPr>
    </w:p>
    <w:p w14:paraId="08F8E0B1">
      <w:pPr>
        <w:bidi w:val="0"/>
        <w:rPr>
          <w:rFonts w:hint="eastAsia" w:ascii="宋体" w:hAnsi="宋体" w:eastAsia="宋体" w:cs="宋体"/>
          <w:lang w:val="en-US" w:eastAsia="zh-CN"/>
        </w:rPr>
      </w:pPr>
    </w:p>
    <w:p w14:paraId="41688826">
      <w:pPr>
        <w:bidi w:val="0"/>
        <w:rPr>
          <w:rFonts w:hint="eastAsia" w:ascii="宋体" w:hAnsi="宋体" w:eastAsia="宋体" w:cs="宋体"/>
          <w:lang w:val="en-US" w:eastAsia="zh-CN"/>
        </w:rPr>
      </w:pPr>
    </w:p>
    <w:p w14:paraId="3C899FFD">
      <w:pPr>
        <w:bidi w:val="0"/>
        <w:rPr>
          <w:rFonts w:hint="eastAsia" w:ascii="宋体" w:hAnsi="宋体" w:eastAsia="宋体" w:cs="宋体"/>
          <w:lang w:val="en-US" w:eastAsia="zh-CN"/>
        </w:rPr>
      </w:pPr>
    </w:p>
    <w:p w14:paraId="3F385802">
      <w:pPr>
        <w:bidi w:val="0"/>
        <w:rPr>
          <w:rFonts w:hint="eastAsia" w:ascii="宋体" w:hAnsi="宋体" w:eastAsia="宋体" w:cs="宋体"/>
          <w:lang w:val="en-US" w:eastAsia="zh-CN"/>
        </w:rPr>
      </w:pPr>
    </w:p>
    <w:p w14:paraId="6423F9DE">
      <w:pPr>
        <w:bidi w:val="0"/>
        <w:rPr>
          <w:rFonts w:hint="eastAsia" w:ascii="宋体" w:hAnsi="宋体" w:eastAsia="宋体" w:cs="宋体"/>
          <w:lang w:val="en-US" w:eastAsia="zh-CN"/>
        </w:rPr>
      </w:pPr>
    </w:p>
    <w:p w14:paraId="73B888B1">
      <w:pPr>
        <w:bidi w:val="0"/>
        <w:rPr>
          <w:rFonts w:hint="eastAsia" w:ascii="宋体" w:hAnsi="宋体" w:eastAsia="宋体" w:cs="宋体"/>
          <w:lang w:val="en-US" w:eastAsia="zh-CN"/>
        </w:rPr>
      </w:pPr>
    </w:p>
    <w:p w14:paraId="4128A2AD">
      <w:pPr>
        <w:tabs>
          <w:tab w:val="left" w:pos="2449"/>
        </w:tabs>
        <w:bidi w:val="0"/>
        <w:jc w:val="left"/>
        <w:rPr>
          <w:rFonts w:hint="eastAsia" w:ascii="宋体" w:hAnsi="宋体" w:eastAsia="宋体" w:cs="宋体"/>
          <w:lang w:val="en-US" w:eastAsia="zh-CN"/>
        </w:rPr>
      </w:pPr>
      <w:r>
        <w:rPr>
          <w:rFonts w:hint="eastAsia" w:ascii="宋体" w:hAnsi="宋体" w:eastAsia="宋体" w:cs="宋体"/>
          <w:lang w:val="en-US" w:eastAsia="zh-CN"/>
        </w:rPr>
        <w:tab/>
      </w:r>
    </w:p>
    <w:p w14:paraId="091E2E4E">
      <w:pPr>
        <w:tabs>
          <w:tab w:val="left" w:pos="2449"/>
        </w:tabs>
        <w:bidi w:val="0"/>
        <w:jc w:val="left"/>
        <w:rPr>
          <w:rFonts w:hint="eastAsia" w:ascii="宋体" w:hAnsi="宋体" w:eastAsia="宋体" w:cs="宋体"/>
          <w:lang w:val="en-US" w:eastAsia="zh-CN"/>
        </w:rPr>
      </w:pPr>
    </w:p>
    <w:p w14:paraId="45D2CFF7">
      <w:pPr>
        <w:tabs>
          <w:tab w:val="left" w:pos="2449"/>
        </w:tabs>
        <w:bidi w:val="0"/>
        <w:jc w:val="left"/>
        <w:rPr>
          <w:rFonts w:hint="eastAsia" w:ascii="宋体" w:hAnsi="宋体" w:eastAsia="宋体" w:cs="宋体"/>
          <w:lang w:val="en-US" w:eastAsia="zh-CN"/>
        </w:rPr>
      </w:pPr>
    </w:p>
    <w:p w14:paraId="0D1749FD">
      <w:pPr>
        <w:tabs>
          <w:tab w:val="left" w:pos="2449"/>
        </w:tabs>
        <w:bidi w:val="0"/>
        <w:jc w:val="left"/>
        <w:rPr>
          <w:rFonts w:hint="eastAsia" w:ascii="宋体" w:hAnsi="宋体" w:eastAsia="宋体" w:cs="宋体"/>
          <w:lang w:val="en-US" w:eastAsia="zh-CN"/>
        </w:rPr>
      </w:pPr>
    </w:p>
    <w:p w14:paraId="4055CE00">
      <w:pPr>
        <w:tabs>
          <w:tab w:val="left" w:pos="2449"/>
        </w:tabs>
        <w:bidi w:val="0"/>
        <w:jc w:val="left"/>
        <w:rPr>
          <w:rFonts w:hint="eastAsia" w:ascii="宋体" w:hAnsi="宋体" w:eastAsia="宋体" w:cs="宋体"/>
          <w:lang w:val="en-US" w:eastAsia="zh-CN"/>
        </w:rPr>
      </w:pPr>
    </w:p>
    <w:p w14:paraId="7AC4032C">
      <w:pPr>
        <w:tabs>
          <w:tab w:val="left" w:pos="2449"/>
        </w:tabs>
        <w:bidi w:val="0"/>
        <w:jc w:val="left"/>
        <w:rPr>
          <w:rFonts w:hint="eastAsia" w:ascii="宋体" w:hAnsi="宋体" w:eastAsia="宋体" w:cs="宋体"/>
          <w:lang w:val="en-US" w:eastAsia="zh-CN"/>
        </w:rPr>
      </w:pPr>
    </w:p>
    <w:p w14:paraId="7E84C740">
      <w:pPr>
        <w:tabs>
          <w:tab w:val="left" w:pos="2449"/>
        </w:tabs>
        <w:bidi w:val="0"/>
        <w:jc w:val="left"/>
        <w:rPr>
          <w:rFonts w:hint="eastAsia" w:ascii="宋体" w:hAnsi="宋体" w:eastAsia="宋体" w:cs="宋体"/>
          <w:lang w:val="en-US" w:eastAsia="zh-CN"/>
        </w:rPr>
      </w:pPr>
    </w:p>
    <w:p w14:paraId="74C97DDC">
      <w:pPr>
        <w:numPr>
          <w:ilvl w:val="0"/>
          <w:numId w:val="0"/>
        </w:numPr>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十一、参选人的法定代表人及授权代表人的有效身份证明复印件</w:t>
      </w:r>
    </w:p>
    <w:p w14:paraId="56378CCB">
      <w:pPr>
        <w:pStyle w:val="3"/>
        <w:numPr>
          <w:ilvl w:val="0"/>
          <w:numId w:val="0"/>
        </w:numPr>
        <w:rPr>
          <w:rFonts w:hint="eastAsia"/>
          <w:lang w:val="en-US" w:eastAsia="zh-CN"/>
        </w:rPr>
      </w:pPr>
    </w:p>
    <w:p w14:paraId="1F47BF60">
      <w:pPr>
        <w:keepNext w:val="0"/>
        <w:keepLines w:val="0"/>
        <w:widowControl/>
        <w:numPr>
          <w:ilvl w:val="0"/>
          <w:numId w:val="0"/>
        </w:numPr>
        <w:suppressLineNumbers w:val="0"/>
        <w:shd w:val="clear" w:fill="FFFFFF"/>
        <w:ind w:left="0" w:leftChars="0" w:firstLine="0" w:firstLineChars="0"/>
        <w:jc w:val="center"/>
        <w:rPr>
          <w:rFonts w:hint="default" w:ascii="宋体" w:hAnsi="宋体" w:eastAsia="宋体" w:cs="宋体"/>
          <w:color w:val="auto"/>
          <w:kern w:val="0"/>
          <w:sz w:val="32"/>
          <w:szCs w:val="32"/>
          <w:highlight w:val="none"/>
          <w:lang w:val="en-US" w:eastAsia="zh-CN" w:bidi="ar"/>
        </w:rPr>
      </w:pPr>
    </w:p>
    <w:p w14:paraId="7019070B">
      <w:pPr>
        <w:rPr>
          <w:rFonts w:hint="eastAsia" w:ascii="宋体" w:hAnsi="宋体" w:eastAsia="宋体" w:cs="宋体"/>
          <w:b/>
          <w:bCs/>
          <w:sz w:val="28"/>
          <w:szCs w:val="28"/>
          <w:lang w:val="en-US" w:eastAsia="zh-CN"/>
        </w:rPr>
      </w:pPr>
    </w:p>
    <w:p w14:paraId="56679E98">
      <w:pPr>
        <w:rPr>
          <w:rFonts w:hint="eastAsia" w:ascii="宋体" w:hAnsi="宋体" w:eastAsia="宋体" w:cs="宋体"/>
          <w:b/>
          <w:bCs/>
          <w:sz w:val="28"/>
          <w:szCs w:val="28"/>
          <w:lang w:val="en-US" w:eastAsia="zh-CN"/>
        </w:rPr>
      </w:pPr>
    </w:p>
    <w:p w14:paraId="7892985A">
      <w:pPr>
        <w:rPr>
          <w:rFonts w:hint="eastAsia" w:ascii="宋体" w:hAnsi="宋体" w:eastAsia="宋体" w:cs="宋体"/>
          <w:b/>
          <w:bCs/>
          <w:sz w:val="28"/>
          <w:szCs w:val="28"/>
          <w:lang w:val="en-US" w:eastAsia="zh-CN"/>
        </w:rPr>
      </w:pPr>
    </w:p>
    <w:p w14:paraId="6279C830">
      <w:pPr>
        <w:rPr>
          <w:rFonts w:hint="eastAsia" w:ascii="宋体" w:hAnsi="宋体" w:eastAsia="宋体" w:cs="宋体"/>
          <w:b/>
          <w:bCs/>
          <w:sz w:val="28"/>
          <w:szCs w:val="28"/>
          <w:lang w:val="en-US" w:eastAsia="zh-CN"/>
        </w:rPr>
      </w:pPr>
    </w:p>
    <w:p w14:paraId="76FCF389">
      <w:pPr>
        <w:rPr>
          <w:rFonts w:hint="eastAsia" w:ascii="宋体" w:hAnsi="宋体" w:eastAsia="宋体" w:cs="宋体"/>
          <w:b/>
          <w:bCs/>
          <w:sz w:val="28"/>
          <w:szCs w:val="28"/>
          <w:lang w:val="en-US" w:eastAsia="zh-CN"/>
        </w:rPr>
      </w:pPr>
    </w:p>
    <w:p w14:paraId="71D4D97C">
      <w:pPr>
        <w:rPr>
          <w:rFonts w:hint="eastAsia" w:ascii="宋体" w:hAnsi="宋体" w:eastAsia="宋体" w:cs="宋体"/>
          <w:b/>
          <w:bCs/>
          <w:sz w:val="28"/>
          <w:szCs w:val="28"/>
          <w:lang w:val="en-US" w:eastAsia="zh-CN"/>
        </w:rPr>
      </w:pPr>
    </w:p>
    <w:p w14:paraId="1B8B48A3">
      <w:pPr>
        <w:widowControl w:val="0"/>
        <w:numPr>
          <w:ilvl w:val="0"/>
          <w:numId w:val="0"/>
        </w:numPr>
        <w:jc w:val="both"/>
        <w:rPr>
          <w:rFonts w:hint="eastAsia" w:ascii="宋体" w:hAnsi="宋体" w:eastAsia="宋体" w:cs="宋体"/>
          <w:b/>
          <w:bCs/>
          <w:sz w:val="28"/>
          <w:szCs w:val="28"/>
          <w:lang w:val="en-US" w:eastAsia="zh-CN"/>
        </w:rPr>
      </w:pPr>
    </w:p>
    <w:p w14:paraId="6E1A90AA">
      <w:pPr>
        <w:pStyle w:val="3"/>
        <w:rPr>
          <w:rFonts w:hint="eastAsia" w:ascii="宋体" w:hAnsi="宋体" w:eastAsia="宋体" w:cs="宋体"/>
          <w:b/>
          <w:bCs/>
          <w:sz w:val="28"/>
          <w:szCs w:val="28"/>
          <w:lang w:val="en-US" w:eastAsia="zh-CN"/>
        </w:rPr>
      </w:pPr>
    </w:p>
    <w:p w14:paraId="5EBA989B">
      <w:pPr>
        <w:pStyle w:val="4"/>
        <w:rPr>
          <w:rFonts w:hint="eastAsia" w:ascii="宋体" w:hAnsi="宋体" w:eastAsia="宋体" w:cs="宋体"/>
          <w:b/>
          <w:bCs/>
          <w:sz w:val="28"/>
          <w:szCs w:val="28"/>
          <w:lang w:val="en-US" w:eastAsia="zh-CN"/>
        </w:rPr>
      </w:pPr>
    </w:p>
    <w:p w14:paraId="04BE187D">
      <w:pPr>
        <w:rPr>
          <w:rFonts w:hint="eastAsia" w:ascii="宋体" w:hAnsi="宋体" w:eastAsia="宋体" w:cs="宋体"/>
          <w:b/>
          <w:bCs/>
          <w:sz w:val="28"/>
          <w:szCs w:val="28"/>
          <w:lang w:val="en-US" w:eastAsia="zh-CN"/>
        </w:rPr>
      </w:pPr>
    </w:p>
    <w:p w14:paraId="1A165687">
      <w:pPr>
        <w:pStyle w:val="3"/>
        <w:rPr>
          <w:rFonts w:hint="eastAsia" w:ascii="宋体" w:hAnsi="宋体" w:eastAsia="宋体" w:cs="宋体"/>
          <w:b/>
          <w:bCs/>
          <w:sz w:val="28"/>
          <w:szCs w:val="28"/>
          <w:lang w:val="en-US" w:eastAsia="zh-CN"/>
        </w:rPr>
      </w:pPr>
    </w:p>
    <w:p w14:paraId="53F799FF">
      <w:pPr>
        <w:pStyle w:val="4"/>
        <w:rPr>
          <w:rFonts w:hint="eastAsia" w:ascii="宋体" w:hAnsi="宋体" w:eastAsia="宋体" w:cs="宋体"/>
          <w:b/>
          <w:bCs/>
          <w:sz w:val="28"/>
          <w:szCs w:val="28"/>
          <w:lang w:val="en-US" w:eastAsia="zh-CN"/>
        </w:rPr>
      </w:pPr>
    </w:p>
    <w:p w14:paraId="2D69BD6D">
      <w:pPr>
        <w:rPr>
          <w:rFonts w:hint="eastAsia" w:ascii="宋体" w:hAnsi="宋体" w:eastAsia="宋体" w:cs="宋体"/>
          <w:b/>
          <w:bCs/>
          <w:sz w:val="28"/>
          <w:szCs w:val="28"/>
          <w:lang w:val="en-US" w:eastAsia="zh-CN"/>
        </w:rPr>
      </w:pPr>
    </w:p>
    <w:p w14:paraId="06CFD5E7">
      <w:pPr>
        <w:pStyle w:val="3"/>
        <w:rPr>
          <w:rFonts w:hint="eastAsia" w:ascii="宋体" w:hAnsi="宋体" w:eastAsia="宋体" w:cs="宋体"/>
          <w:b/>
          <w:bCs/>
          <w:sz w:val="28"/>
          <w:szCs w:val="28"/>
          <w:lang w:val="en-US" w:eastAsia="zh-CN"/>
        </w:rPr>
      </w:pPr>
    </w:p>
    <w:p w14:paraId="2D831F24">
      <w:pPr>
        <w:pStyle w:val="4"/>
        <w:rPr>
          <w:rFonts w:hint="eastAsia"/>
          <w:lang w:val="en-US" w:eastAsia="zh-CN"/>
        </w:rPr>
      </w:pPr>
    </w:p>
    <w:p w14:paraId="1C00C386">
      <w:pPr>
        <w:widowControl w:val="0"/>
        <w:numPr>
          <w:ilvl w:val="0"/>
          <w:numId w:val="0"/>
        </w:numPr>
        <w:jc w:val="both"/>
        <w:rPr>
          <w:rFonts w:hint="eastAsia" w:ascii="宋体" w:hAnsi="宋体" w:eastAsia="宋体" w:cs="宋体"/>
          <w:b/>
          <w:bCs/>
          <w:sz w:val="28"/>
          <w:szCs w:val="28"/>
          <w:lang w:val="en-US" w:eastAsia="zh-CN"/>
        </w:rPr>
      </w:pPr>
    </w:p>
    <w:p w14:paraId="5C1B1B18">
      <w:pPr>
        <w:pStyle w:val="3"/>
        <w:rPr>
          <w:rFonts w:hint="eastAsia"/>
          <w:lang w:val="en-US" w:eastAsia="zh-CN"/>
        </w:rPr>
      </w:pPr>
    </w:p>
    <w:p w14:paraId="5FF49E96">
      <w:pPr>
        <w:widowControl w:val="0"/>
        <w:numPr>
          <w:ilvl w:val="0"/>
          <w:numId w:val="0"/>
        </w:numPr>
        <w:jc w:val="both"/>
        <w:rPr>
          <w:rFonts w:hint="eastAsia" w:ascii="宋体" w:hAnsi="宋体" w:eastAsia="宋体" w:cs="宋体"/>
          <w:b/>
          <w:bCs/>
          <w:sz w:val="28"/>
          <w:szCs w:val="28"/>
          <w:lang w:val="en-US" w:eastAsia="zh-CN"/>
        </w:rPr>
      </w:pPr>
    </w:p>
    <w:p w14:paraId="11BE8779">
      <w:pPr>
        <w:numPr>
          <w:ilvl w:val="0"/>
          <w:numId w:val="0"/>
        </w:numPr>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十二、采购需求、药械技术要求响应承诺函</w:t>
      </w:r>
    </w:p>
    <w:p w14:paraId="2326ED9E">
      <w:pPr>
        <w:pStyle w:val="3"/>
        <w:widowControl w:val="0"/>
        <w:numPr>
          <w:ilvl w:val="0"/>
          <w:numId w:val="0"/>
        </w:numPr>
        <w:jc w:val="center"/>
        <w:rPr>
          <w:rFonts w:hint="eastAsia" w:ascii="宋体" w:hAnsi="宋体" w:eastAsia="宋体" w:cs="宋体"/>
          <w:sz w:val="28"/>
          <w:szCs w:val="18"/>
          <w:lang w:val="en-US" w:eastAsia="zh-CN"/>
        </w:rPr>
      </w:pPr>
      <w:r>
        <w:rPr>
          <w:rFonts w:hint="eastAsia" w:ascii="宋体" w:hAnsi="宋体" w:eastAsia="宋体" w:cs="宋体"/>
          <w:sz w:val="28"/>
          <w:szCs w:val="18"/>
          <w:lang w:val="en-US" w:eastAsia="zh-CN"/>
        </w:rPr>
        <w:t>格式自拟</w:t>
      </w:r>
    </w:p>
    <w:p w14:paraId="7797AAEA">
      <w:pPr>
        <w:pStyle w:val="4"/>
        <w:rPr>
          <w:rFonts w:hint="eastAsia"/>
          <w:lang w:val="en-US" w:eastAsia="zh-CN"/>
        </w:rPr>
      </w:pPr>
    </w:p>
    <w:p w14:paraId="09B00F06">
      <w:pPr>
        <w:rPr>
          <w:rFonts w:hint="eastAsia"/>
          <w:lang w:val="en-US" w:eastAsia="zh-CN"/>
        </w:rPr>
      </w:pPr>
    </w:p>
    <w:p w14:paraId="55A61A25">
      <w:pPr>
        <w:pStyle w:val="3"/>
        <w:rPr>
          <w:rFonts w:hint="eastAsia"/>
          <w:lang w:val="en-US" w:eastAsia="zh-CN"/>
        </w:rPr>
      </w:pPr>
    </w:p>
    <w:p w14:paraId="4D2491F7">
      <w:pPr>
        <w:pStyle w:val="4"/>
        <w:rPr>
          <w:rFonts w:hint="eastAsia"/>
          <w:lang w:val="en-US" w:eastAsia="zh-CN"/>
        </w:rPr>
      </w:pPr>
    </w:p>
    <w:p w14:paraId="402D8E2B">
      <w:pPr>
        <w:rPr>
          <w:rFonts w:hint="eastAsia"/>
          <w:lang w:val="en-US" w:eastAsia="zh-CN"/>
        </w:rPr>
      </w:pPr>
    </w:p>
    <w:p w14:paraId="5C9A79D6">
      <w:pPr>
        <w:pStyle w:val="3"/>
        <w:rPr>
          <w:rFonts w:hint="eastAsia"/>
          <w:lang w:val="en-US" w:eastAsia="zh-CN"/>
        </w:rPr>
      </w:pPr>
    </w:p>
    <w:p w14:paraId="061AAF57">
      <w:pPr>
        <w:pStyle w:val="4"/>
        <w:rPr>
          <w:rFonts w:hint="eastAsia"/>
          <w:lang w:val="en-US" w:eastAsia="zh-CN"/>
        </w:rPr>
      </w:pPr>
    </w:p>
    <w:p w14:paraId="26783CD0">
      <w:pPr>
        <w:rPr>
          <w:rFonts w:hint="eastAsia"/>
          <w:lang w:val="en-US" w:eastAsia="zh-CN"/>
        </w:rPr>
      </w:pPr>
    </w:p>
    <w:p w14:paraId="3E1FFCC9">
      <w:pPr>
        <w:pStyle w:val="3"/>
        <w:rPr>
          <w:rFonts w:hint="eastAsia"/>
          <w:lang w:val="en-US" w:eastAsia="zh-CN"/>
        </w:rPr>
      </w:pPr>
    </w:p>
    <w:p w14:paraId="74FD7B72">
      <w:pPr>
        <w:pStyle w:val="4"/>
        <w:rPr>
          <w:rFonts w:hint="eastAsia"/>
          <w:lang w:val="en-US" w:eastAsia="zh-CN"/>
        </w:rPr>
      </w:pPr>
    </w:p>
    <w:p w14:paraId="371C4D27">
      <w:pPr>
        <w:rPr>
          <w:rFonts w:hint="eastAsia"/>
          <w:lang w:val="en-US" w:eastAsia="zh-CN"/>
        </w:rPr>
      </w:pPr>
    </w:p>
    <w:p w14:paraId="7F27E1FF">
      <w:pPr>
        <w:pStyle w:val="3"/>
        <w:rPr>
          <w:rFonts w:hint="eastAsia"/>
          <w:lang w:val="en-US" w:eastAsia="zh-CN"/>
        </w:rPr>
      </w:pPr>
    </w:p>
    <w:p w14:paraId="090A2E7B">
      <w:pPr>
        <w:pStyle w:val="4"/>
        <w:rPr>
          <w:rFonts w:hint="eastAsia"/>
          <w:lang w:val="en-US" w:eastAsia="zh-CN"/>
        </w:rPr>
      </w:pPr>
    </w:p>
    <w:p w14:paraId="3D414585">
      <w:pPr>
        <w:rPr>
          <w:rFonts w:hint="eastAsia"/>
          <w:lang w:val="en-US" w:eastAsia="zh-CN"/>
        </w:rPr>
      </w:pPr>
    </w:p>
    <w:p w14:paraId="597DF750">
      <w:pPr>
        <w:pStyle w:val="3"/>
        <w:rPr>
          <w:rFonts w:hint="eastAsia"/>
          <w:lang w:val="en-US" w:eastAsia="zh-CN"/>
        </w:rPr>
      </w:pPr>
    </w:p>
    <w:p w14:paraId="7C2917F9">
      <w:pPr>
        <w:pStyle w:val="4"/>
        <w:rPr>
          <w:rFonts w:hint="eastAsia"/>
          <w:lang w:val="en-US" w:eastAsia="zh-CN"/>
        </w:rPr>
      </w:pPr>
    </w:p>
    <w:p w14:paraId="2600B0A8">
      <w:pPr>
        <w:rPr>
          <w:rFonts w:hint="eastAsia"/>
          <w:lang w:val="en-US" w:eastAsia="zh-CN"/>
        </w:rPr>
      </w:pPr>
    </w:p>
    <w:p w14:paraId="6FE5A2C1">
      <w:pPr>
        <w:pStyle w:val="3"/>
        <w:rPr>
          <w:rFonts w:hint="eastAsia"/>
          <w:lang w:val="en-US" w:eastAsia="zh-CN"/>
        </w:rPr>
      </w:pPr>
    </w:p>
    <w:p w14:paraId="0E53D49A">
      <w:pPr>
        <w:pStyle w:val="4"/>
        <w:rPr>
          <w:rFonts w:hint="eastAsia"/>
          <w:lang w:val="en-US" w:eastAsia="zh-CN"/>
        </w:rPr>
      </w:pPr>
    </w:p>
    <w:p w14:paraId="1C1270EB">
      <w:pPr>
        <w:rPr>
          <w:rFonts w:hint="eastAsia"/>
          <w:lang w:val="en-US" w:eastAsia="zh-CN"/>
        </w:rPr>
      </w:pPr>
    </w:p>
    <w:p w14:paraId="122BEB0A">
      <w:pPr>
        <w:pStyle w:val="3"/>
        <w:rPr>
          <w:rFonts w:hint="eastAsia"/>
          <w:lang w:val="en-US" w:eastAsia="zh-CN"/>
        </w:rPr>
      </w:pPr>
    </w:p>
    <w:p w14:paraId="38235046">
      <w:pPr>
        <w:pStyle w:val="4"/>
        <w:rPr>
          <w:rFonts w:hint="eastAsia"/>
          <w:lang w:val="en-US" w:eastAsia="zh-CN"/>
        </w:rPr>
      </w:pPr>
    </w:p>
    <w:p w14:paraId="4A51A6C1">
      <w:pPr>
        <w:rPr>
          <w:rFonts w:hint="eastAsia"/>
          <w:lang w:val="en-US" w:eastAsia="zh-CN"/>
        </w:rPr>
      </w:pPr>
    </w:p>
    <w:p w14:paraId="49B30719">
      <w:pPr>
        <w:numPr>
          <w:ilvl w:val="0"/>
          <w:numId w:val="0"/>
        </w:numPr>
        <w:jc w:val="center"/>
        <w:rPr>
          <w:rFonts w:hint="eastAsia" w:ascii="宋体" w:hAnsi="宋体" w:eastAsia="宋体" w:cs="宋体"/>
          <w:color w:val="auto"/>
          <w:kern w:val="0"/>
          <w:sz w:val="32"/>
          <w:szCs w:val="32"/>
          <w:highlight w:val="none"/>
          <w:lang w:val="en-US" w:eastAsia="zh-CN" w:bidi="ar"/>
        </w:rPr>
      </w:pPr>
      <w:bookmarkStart w:id="0" w:name="_Toc22953"/>
      <w:r>
        <w:rPr>
          <w:rFonts w:hint="eastAsia" w:ascii="宋体" w:hAnsi="宋体" w:eastAsia="宋体" w:cs="宋体"/>
          <w:color w:val="auto"/>
          <w:kern w:val="0"/>
          <w:sz w:val="32"/>
          <w:szCs w:val="32"/>
          <w:highlight w:val="none"/>
          <w:lang w:val="en-US" w:eastAsia="zh-CN" w:bidi="ar"/>
        </w:rPr>
        <w:t>十三、参选人认为需要的其他证明材料</w:t>
      </w:r>
    </w:p>
    <w:p w14:paraId="17583B67">
      <w:pPr>
        <w:widowControl/>
        <w:spacing w:line="360" w:lineRule="auto"/>
        <w:jc w:val="center"/>
        <w:rPr>
          <w:rFonts w:hint="eastAsia" w:ascii="仿宋" w:hAnsi="仿宋" w:eastAsia="仿宋" w:cs="仿宋"/>
          <w:b/>
          <w:color w:val="auto"/>
          <w:sz w:val="32"/>
          <w:szCs w:val="32"/>
          <w:highlight w:val="none"/>
        </w:rPr>
      </w:pPr>
    </w:p>
    <w:p w14:paraId="1B8A53D8">
      <w:pPr>
        <w:pStyle w:val="3"/>
        <w:widowControl w:val="0"/>
        <w:numPr>
          <w:ilvl w:val="0"/>
          <w:numId w:val="0"/>
        </w:numPr>
        <w:jc w:val="center"/>
        <w:rPr>
          <w:rFonts w:hint="eastAsia" w:ascii="宋体" w:hAnsi="宋体" w:eastAsia="宋体" w:cs="宋体"/>
          <w:sz w:val="28"/>
          <w:szCs w:val="18"/>
          <w:lang w:val="en-US" w:eastAsia="zh-CN"/>
        </w:rPr>
      </w:pPr>
      <w:r>
        <w:rPr>
          <w:rFonts w:hint="eastAsia" w:ascii="宋体" w:hAnsi="宋体" w:eastAsia="宋体" w:cs="宋体"/>
          <w:sz w:val="28"/>
          <w:szCs w:val="18"/>
          <w:lang w:val="en-US" w:eastAsia="zh-CN"/>
        </w:rPr>
        <w:t>格式自拟</w:t>
      </w:r>
    </w:p>
    <w:p w14:paraId="462A404B">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p>
    <w:p w14:paraId="1037B60C">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p>
    <w:p w14:paraId="173759B3">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p>
    <w:p w14:paraId="31172146">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p>
    <w:p w14:paraId="5FC227C9">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p>
    <w:p w14:paraId="63824F09">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p>
    <w:p w14:paraId="5E4F2E8E">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p>
    <w:p w14:paraId="432AD5E5">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p>
    <w:bookmarkEnd w:id="0"/>
    <w:p w14:paraId="4B2C463A">
      <w:pPr>
        <w:rPr>
          <w:rFonts w:hint="eastAsia" w:ascii="宋体" w:hAnsi="宋体" w:eastAsia="宋体" w:cs="宋体"/>
        </w:rPr>
      </w:pPr>
    </w:p>
    <w:sectPr>
      <w:pgSz w:w="11906" w:h="16838"/>
      <w:pgMar w:top="1440" w:right="726" w:bottom="1440" w:left="782"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42483"/>
    <w:multiLevelType w:val="multilevel"/>
    <w:tmpl w:val="55642483"/>
    <w:lvl w:ilvl="0" w:tentative="0">
      <w:start w:val="1"/>
      <w:numFmt w:val="decimal"/>
      <w:lvlText w:val="%1"/>
      <w:lvlJc w:val="center"/>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06F32"/>
    <w:rsid w:val="00237A6E"/>
    <w:rsid w:val="00FB6BD6"/>
    <w:rsid w:val="03743CA7"/>
    <w:rsid w:val="07E51AAD"/>
    <w:rsid w:val="122906AB"/>
    <w:rsid w:val="14095A74"/>
    <w:rsid w:val="1AC92A69"/>
    <w:rsid w:val="209D0DD3"/>
    <w:rsid w:val="36DB3EF8"/>
    <w:rsid w:val="39E00258"/>
    <w:rsid w:val="41045A85"/>
    <w:rsid w:val="49860CEE"/>
    <w:rsid w:val="4D132794"/>
    <w:rsid w:val="4F876573"/>
    <w:rsid w:val="55823A64"/>
    <w:rsid w:val="5B4B10AF"/>
    <w:rsid w:val="69606F32"/>
    <w:rsid w:val="7711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widowControl/>
      <w:spacing w:before="340" w:after="330" w:line="576" w:lineRule="auto"/>
      <w:jc w:val="left"/>
      <w:outlineLvl w:val="0"/>
    </w:pPr>
    <w:rPr>
      <w:b/>
      <w:kern w:val="44"/>
      <w:sz w:val="44"/>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left" w:pos="0"/>
      </w:tabs>
      <w:wordWrap w:val="0"/>
      <w:topLinePunct/>
      <w:spacing w:line="240" w:lineRule="auto"/>
      <w:jc w:val="center"/>
    </w:pPr>
    <w:rPr>
      <w:sz w:val="18"/>
      <w:szCs w:val="18"/>
    </w:rPr>
  </w:style>
  <w:style w:type="paragraph" w:styleId="3">
    <w:name w:val="Body Text"/>
    <w:basedOn w:val="1"/>
    <w:next w:val="4"/>
    <w:qFormat/>
    <w:uiPriority w:val="0"/>
    <w:rPr>
      <w:rFonts w:eastAsia="黑体"/>
      <w:sz w:val="44"/>
    </w:rPr>
  </w:style>
  <w:style w:type="paragraph" w:styleId="4">
    <w:name w:val="Quote"/>
    <w:basedOn w:val="1"/>
    <w:next w:val="1"/>
    <w:qFormat/>
    <w:uiPriority w:val="0"/>
    <w:pPr>
      <w:tabs>
        <w:tab w:val="left" w:pos="0"/>
      </w:tabs>
      <w:wordWrap w:val="0"/>
      <w:spacing w:before="200" w:after="160" w:line="240" w:lineRule="auto"/>
      <w:ind w:left="864" w:right="864"/>
      <w:jc w:val="center"/>
    </w:pPr>
    <w:rPr>
      <w:rFonts w:ascii="Times New Roman" w:hAnsi="Times New Roman" w:eastAsia="宋体" w:cs="Times New Roman"/>
      <w:i/>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unhideWhenUsed/>
    <w:qFormat/>
    <w:uiPriority w:val="99"/>
    <w:pPr>
      <w:tabs>
        <w:tab w:val="left" w:pos="0"/>
      </w:tabs>
      <w:ind w:firstLine="420" w:firstLineChars="100"/>
    </w:pPr>
  </w:style>
  <w:style w:type="character" w:styleId="12">
    <w:name w:val="Strong"/>
    <w:basedOn w:val="11"/>
    <w:qFormat/>
    <w:uiPriority w:val="0"/>
    <w:rPr>
      <w:b/>
    </w:rPr>
  </w:style>
  <w:style w:type="paragraph" w:customStyle="1" w:styleId="13">
    <w:name w:val="12、表格内左对齐正文"/>
    <w:basedOn w:val="1"/>
    <w:autoRedefine/>
    <w:qFormat/>
    <w:uiPriority w:val="0"/>
    <w:pPr>
      <w:tabs>
        <w:tab w:val="left" w:pos="0"/>
      </w:tabs>
      <w:wordWrap w:val="0"/>
      <w:topLinePunct/>
      <w:spacing w:line="360" w:lineRule="exact"/>
      <w:ind w:left="48" w:leftChars="20"/>
    </w:pPr>
    <w:rPr>
      <w:snapToGrid w:val="0"/>
      <w:sz w:val="21"/>
    </w:rPr>
  </w:style>
  <w:style w:type="paragraph" w:customStyle="1" w:styleId="14">
    <w:name w:val="13、表格内居中正文"/>
    <w:basedOn w:val="1"/>
    <w:autoRedefine/>
    <w:qFormat/>
    <w:uiPriority w:val="0"/>
    <w:pPr>
      <w:wordWrap w:val="0"/>
      <w:topLinePunct/>
      <w:adjustRightInd w:val="0"/>
      <w:snapToGrid w:val="0"/>
      <w:spacing w:line="360" w:lineRule="exact"/>
      <w:jc w:val="center"/>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3110</Words>
  <Characters>3317</Characters>
  <Lines>0</Lines>
  <Paragraphs>0</Paragraphs>
  <TotalTime>6</TotalTime>
  <ScaleCrop>false</ScaleCrop>
  <LinksUpToDate>false</LinksUpToDate>
  <CharactersWithSpaces>3323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2026-03-31T07:31:00Z</dcterms:created>
  <dc:creator>小鱼</dc:creator>
  <cp:lastModifiedBy>小鱼</cp:lastModifiedBy>
  <dcterms:modified xsi:type="dcterms:W3CDTF">2026-04-01T07:48:18Z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2D0EAA8A5F694D678B2D3CE7AA453B01_11</vt:lpwstr>
  </property>
  <property fmtid="{D5CDD505-2E9C-101B-9397-08002B2CF9AE}" pid="4" name="KSOTemplateDocerSaveRecord">
    <vt:lpwstr>eyJoZGlkIjoiZjQyMjZjMGJjNDVkYTg1NmNlMzgxODBlMDU5MjczZDYiLCJ1c2VySWQiOiIyNzM1MDExNDQifQ==</vt:lpwstr>
  </property>
</Properties>
</file>