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3B080">
      <w:pPr>
        <w:keepNext w:val="0"/>
        <w:keepLines w:val="0"/>
        <w:pageBreakBefore w:val="0"/>
        <w:widowControl/>
        <w:kinsoku/>
        <w:wordWrap/>
        <w:overflowPunct/>
        <w:topLinePunct w:val="0"/>
        <w:autoSpaceDE/>
        <w:autoSpaceDN/>
        <w:bidi w:val="0"/>
        <w:adjustRightInd/>
        <w:snapToGrid/>
        <w:spacing w:line="240" w:lineRule="auto"/>
        <w:ind w:left="0" w:right="0" w:rightChars="0"/>
        <w:jc w:val="both"/>
        <w:textAlignment w:val="auto"/>
        <w:outlineLvl w:val="5"/>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4209674D">
      <w:pPr>
        <w:keepNext w:val="0"/>
        <w:keepLines w:val="0"/>
        <w:pageBreakBefore w:val="0"/>
        <w:widowControl/>
        <w:kinsoku/>
        <w:wordWrap/>
        <w:overflowPunct/>
        <w:topLinePunct w:val="0"/>
        <w:autoSpaceDE/>
        <w:autoSpaceDN/>
        <w:bidi w:val="0"/>
        <w:adjustRightInd/>
        <w:snapToGrid/>
        <w:spacing w:line="760" w:lineRule="exact"/>
        <w:ind w:left="0" w:right="0" w:rightChars="0"/>
        <w:jc w:val="center"/>
        <w:textAlignment w:val="auto"/>
        <w:outlineLvl w:val="5"/>
        <w:rPr>
          <w:rFonts w:hint="eastAsia" w:ascii="宋体" w:hAnsi="宋体" w:eastAsia="宋体" w:cs="宋体"/>
          <w:color w:val="auto"/>
          <w:sz w:val="48"/>
          <w:szCs w:val="48"/>
          <w:highlight w:val="none"/>
          <w:lang w:val="en-US" w:eastAsia="zh-CN"/>
        </w:rPr>
      </w:pPr>
      <w:r>
        <w:rPr>
          <w:rFonts w:hint="eastAsia" w:ascii="宋体" w:hAnsi="宋体" w:eastAsia="宋体" w:cs="宋体"/>
          <w:color w:val="auto"/>
          <w:sz w:val="48"/>
          <w:szCs w:val="48"/>
          <w:highlight w:val="none"/>
          <w:lang w:val="en-US" w:eastAsia="zh-CN"/>
        </w:rPr>
        <w:t>成都市温江区疾病预防控制中心</w:t>
      </w:r>
    </w:p>
    <w:p w14:paraId="50F7C1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kern w:val="2"/>
          <w:sz w:val="48"/>
          <w:szCs w:val="48"/>
          <w:highlight w:val="none"/>
          <w:lang w:val="en-US" w:eastAsia="zh-CN" w:bidi="ar-SA"/>
        </w:rPr>
        <w:t>温江区2026年病媒生物防制项目</w:t>
      </w:r>
      <w:r>
        <w:rPr>
          <w:rFonts w:hint="eastAsia" w:ascii="宋体" w:hAnsi="宋体" w:eastAsia="宋体" w:cs="宋体"/>
          <w:color w:val="auto"/>
          <w:sz w:val="44"/>
          <w:szCs w:val="44"/>
          <w:highlight w:val="none"/>
          <w:lang w:val="en-US" w:eastAsia="zh-CN"/>
        </w:rPr>
        <w:t>采购内容</w:t>
      </w:r>
    </w:p>
    <w:p w14:paraId="20D4ADBA">
      <w:pPr>
        <w:keepNext w:val="0"/>
        <w:keepLines w:val="0"/>
        <w:pageBreakBefore w:val="0"/>
        <w:widowControl/>
        <w:kinsoku/>
        <w:wordWrap/>
        <w:overflowPunct/>
        <w:topLinePunct w:val="0"/>
        <w:autoSpaceDE/>
        <w:autoSpaceDN/>
        <w:bidi w:val="0"/>
        <w:adjustRightInd/>
        <w:snapToGrid/>
        <w:spacing w:line="700" w:lineRule="exact"/>
        <w:ind w:left="560" w:leftChars="0" w:right="0" w:rightChars="0" w:hanging="560" w:hangingChars="200"/>
        <w:jc w:val="center"/>
        <w:textAlignment w:val="auto"/>
        <w:outlineLvl w:val="5"/>
        <w:rPr>
          <w:rFonts w:hint="eastAsia" w:ascii="宋体" w:hAnsi="宋体" w:eastAsia="宋体" w:cs="宋体"/>
          <w:b w:val="0"/>
          <w:bCs w:val="0"/>
          <w:color w:val="auto"/>
          <w:kern w:val="2"/>
          <w:sz w:val="28"/>
          <w:szCs w:val="28"/>
          <w:lang w:val="en-US" w:eastAsia="zh-CN" w:bidi="ar-SA"/>
        </w:rPr>
      </w:pPr>
    </w:p>
    <w:p w14:paraId="2A82D6DB">
      <w:pPr>
        <w:keepNext w:val="0"/>
        <w:keepLines w:val="0"/>
        <w:pageBreakBefore w:val="0"/>
        <w:widowControl/>
        <w:numPr>
          <w:ilvl w:val="0"/>
          <w:numId w:val="1"/>
        </w:numPr>
        <w:kinsoku/>
        <w:wordWrap/>
        <w:overflowPunct/>
        <w:topLinePunct w:val="0"/>
        <w:autoSpaceDE/>
        <w:autoSpaceDN/>
        <w:bidi w:val="0"/>
        <w:adjustRightInd/>
        <w:snapToGrid/>
        <w:spacing w:line="480" w:lineRule="exact"/>
        <w:ind w:left="560" w:leftChars="0" w:right="0" w:rightChars="0" w:hanging="560" w:hangingChars="200"/>
        <w:jc w:val="both"/>
        <w:textAlignment w:val="auto"/>
        <w:outlineLvl w:val="5"/>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项目名称：温江区2026年病媒生物防制项目</w:t>
      </w:r>
    </w:p>
    <w:p w14:paraId="7218F128">
      <w:pPr>
        <w:keepNext w:val="0"/>
        <w:keepLines w:val="0"/>
        <w:pageBreakBefore w:val="0"/>
        <w:widowControl/>
        <w:numPr>
          <w:numId w:val="0"/>
        </w:numPr>
        <w:kinsoku/>
        <w:wordWrap/>
        <w:overflowPunct/>
        <w:topLinePunct w:val="0"/>
        <w:autoSpaceDE/>
        <w:autoSpaceDN/>
        <w:bidi w:val="0"/>
        <w:adjustRightInd/>
        <w:snapToGrid/>
        <w:spacing w:line="480" w:lineRule="exact"/>
        <w:ind w:leftChars="-200" w:right="0" w:rightChars="0" w:firstLine="560" w:firstLineChars="200"/>
        <w:jc w:val="both"/>
        <w:textAlignment w:val="auto"/>
        <w:outlineLvl w:val="5"/>
        <w:rPr>
          <w:rFonts w:hint="eastAsia" w:ascii="宋体" w:hAnsi="宋体" w:eastAsia="宋体" w:cs="宋体"/>
          <w:b w:val="0"/>
          <w:bCs w:val="0"/>
          <w:lang w:val="en-US" w:eastAsia="zh-CN"/>
        </w:rPr>
      </w:pPr>
      <w:r>
        <w:rPr>
          <w:rFonts w:hint="eastAsia" w:ascii="宋体" w:hAnsi="宋体" w:eastAsia="宋体" w:cs="宋体"/>
          <w:b w:val="0"/>
          <w:bCs w:val="0"/>
          <w:color w:val="auto"/>
          <w:sz w:val="28"/>
          <w:szCs w:val="28"/>
          <w:highlight w:val="none"/>
          <w:lang w:val="en-US" w:eastAsia="zh-CN"/>
        </w:rPr>
        <w:t>二、采购背景与目标：</w:t>
      </w:r>
      <w:r>
        <w:rPr>
          <w:rFonts w:hint="eastAsia" w:ascii="宋体" w:hAnsi="宋体" w:eastAsia="宋体" w:cs="宋体"/>
          <w:b w:val="0"/>
          <w:bCs w:val="0"/>
          <w:color w:val="auto"/>
          <w:sz w:val="28"/>
          <w:szCs w:val="28"/>
          <w:highlight w:val="none"/>
          <w:lang w:val="zh-TW" w:eastAsia="zh-CN"/>
        </w:rPr>
        <w:t>按</w:t>
      </w:r>
      <w:r>
        <w:rPr>
          <w:rFonts w:hint="eastAsia" w:ascii="宋体" w:hAnsi="宋体" w:eastAsia="宋体" w:cs="宋体"/>
          <w:b w:val="0"/>
          <w:bCs w:val="0"/>
          <w:color w:val="auto"/>
          <w:sz w:val="28"/>
          <w:szCs w:val="28"/>
          <w:highlight w:val="none"/>
          <w:lang w:val="en-US" w:eastAsia="zh-CN"/>
        </w:rPr>
        <w:t>市级要求</w:t>
      </w:r>
      <w:r>
        <w:rPr>
          <w:rFonts w:hint="eastAsia" w:ascii="宋体" w:hAnsi="宋体" w:eastAsia="宋体" w:cs="宋体"/>
          <w:b w:val="0"/>
          <w:bCs w:val="0"/>
          <w:color w:val="auto"/>
          <w:sz w:val="28"/>
          <w:szCs w:val="28"/>
          <w:highlight w:val="none"/>
          <w:lang w:val="zh-TW" w:eastAsia="zh-CN"/>
        </w:rPr>
        <w:t>，</w:t>
      </w:r>
      <w:r>
        <w:rPr>
          <w:rFonts w:hint="eastAsia" w:ascii="宋体" w:hAnsi="宋体" w:eastAsia="宋体" w:cs="宋体"/>
          <w:b w:val="0"/>
          <w:bCs w:val="0"/>
          <w:color w:val="auto"/>
          <w:sz w:val="28"/>
          <w:szCs w:val="28"/>
          <w:highlight w:val="none"/>
          <w:lang w:val="en-US" w:eastAsia="zh-CN"/>
        </w:rPr>
        <w:t>我区拟聘请第三方公司对区内农贸市场、党政机关等重点场所内外环境开展病媒生物防制工作。</w:t>
      </w:r>
    </w:p>
    <w:p w14:paraId="5823FB03">
      <w:pPr>
        <w:keepNext w:val="0"/>
        <w:keepLines w:val="0"/>
        <w:pageBreakBefore w:val="0"/>
        <w:widowControl/>
        <w:numPr>
          <w:numId w:val="0"/>
        </w:numPr>
        <w:kinsoku/>
        <w:wordWrap/>
        <w:overflowPunct/>
        <w:topLinePunct w:val="0"/>
        <w:autoSpaceDE/>
        <w:autoSpaceDN/>
        <w:bidi w:val="0"/>
        <w:adjustRightInd/>
        <w:snapToGrid/>
        <w:spacing w:line="480" w:lineRule="exact"/>
        <w:ind w:leftChars="-200" w:right="0" w:rightChars="0" w:firstLine="560" w:firstLineChars="200"/>
        <w:jc w:val="both"/>
        <w:textAlignment w:val="auto"/>
        <w:outlineLvl w:val="5"/>
        <w:rPr>
          <w:rFonts w:hint="eastAsia" w:ascii="宋体" w:hAnsi="宋体" w:eastAsia="宋体" w:cs="宋体"/>
          <w:b w:val="0"/>
          <w:bCs w:val="0"/>
          <w:lang w:val="en-US" w:eastAsia="zh-CN"/>
        </w:rPr>
      </w:pPr>
      <w:r>
        <w:rPr>
          <w:rFonts w:hint="eastAsia" w:ascii="宋体" w:hAnsi="宋体" w:eastAsia="宋体" w:cs="宋体"/>
          <w:b w:val="0"/>
          <w:bCs w:val="0"/>
          <w:color w:val="auto"/>
          <w:sz w:val="28"/>
          <w:szCs w:val="28"/>
          <w:highlight w:val="none"/>
          <w:lang w:val="en-US" w:eastAsia="zh-CN"/>
        </w:rPr>
        <w:t>三、采购需求（实质性要求）：在2026年期间聘请第三方公司对全区党政机关和农贸市场内外环境开展病媒生物防制和四害密度监测工作。4-12月期间，每个季度开展1次病媒生物防制工作，在2026年10月全市统一灭鼠期间开展1次专项四害防制工作，开展不少于4次集中防制工作。同时每月抽取10%的点位（向上取整）进行四害密度监测，根据监测结果进行定向消杀。</w:t>
      </w:r>
    </w:p>
    <w:tbl>
      <w:tblPr>
        <w:tblStyle w:val="9"/>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9"/>
        <w:gridCol w:w="7119"/>
        <w:gridCol w:w="1411"/>
      </w:tblGrid>
      <w:tr w14:paraId="2E8E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3" w:hRule="atLeast"/>
          <w:jc w:val="center"/>
        </w:trPr>
        <w:tc>
          <w:tcPr>
            <w:tcW w:w="8728" w:type="dxa"/>
            <w:gridSpan w:val="2"/>
            <w:noWrap w:val="0"/>
            <w:tcMar>
              <w:top w:w="15" w:type="dxa"/>
              <w:left w:w="15" w:type="dxa"/>
              <w:right w:w="15" w:type="dxa"/>
            </w:tcMar>
            <w:vAlign w:val="center"/>
          </w:tcPr>
          <w:p w14:paraId="0D43C32B">
            <w:pPr>
              <w:keepNext w:val="0"/>
              <w:keepLines w:val="0"/>
              <w:widowControl/>
              <w:suppressLineNumbers w:val="0"/>
              <w:spacing w:line="360" w:lineRule="auto"/>
              <w:jc w:val="center"/>
              <w:textAlignment w:val="center"/>
              <w:rPr>
                <w:rFonts w:hint="default" w:ascii="仿宋" w:hAnsi="仿宋" w:eastAsia="仿宋" w:cs="仿宋"/>
                <w:sz w:val="21"/>
                <w:szCs w:val="21"/>
                <w:lang w:val="en-US" w:eastAsia="zh-CN"/>
              </w:rPr>
            </w:pPr>
            <w:r>
              <w:rPr>
                <w:rFonts w:hint="eastAsia" w:ascii="宋体" w:hAnsi="宋体" w:eastAsia="宋体" w:cs="宋体"/>
                <w:b w:val="0"/>
                <w:bCs w:val="0"/>
                <w:color w:val="auto"/>
                <w:sz w:val="28"/>
                <w:szCs w:val="28"/>
                <w:highlight w:val="none"/>
                <w:lang w:val="en-US" w:eastAsia="zh-CN"/>
              </w:rPr>
              <w:t>服务要求（实质性要求）</w:t>
            </w:r>
          </w:p>
        </w:tc>
        <w:tc>
          <w:tcPr>
            <w:tcW w:w="1411" w:type="dxa"/>
            <w:noWrap w:val="0"/>
            <w:tcMar>
              <w:top w:w="15" w:type="dxa"/>
              <w:left w:w="15" w:type="dxa"/>
              <w:right w:w="15" w:type="dxa"/>
            </w:tcMar>
            <w:vAlign w:val="center"/>
          </w:tcPr>
          <w:p w14:paraId="22AB2A7D">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6990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609" w:type="dxa"/>
            <w:noWrap w:val="0"/>
            <w:tcMar>
              <w:top w:w="15" w:type="dxa"/>
              <w:left w:w="15" w:type="dxa"/>
              <w:right w:w="15" w:type="dxa"/>
            </w:tcMar>
            <w:vAlign w:val="center"/>
          </w:tcPr>
          <w:p w14:paraId="70E7286E">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服务时限</w:t>
            </w:r>
          </w:p>
        </w:tc>
        <w:tc>
          <w:tcPr>
            <w:tcW w:w="7119" w:type="dxa"/>
            <w:noWrap w:val="0"/>
            <w:tcMar>
              <w:top w:w="15" w:type="dxa"/>
              <w:left w:w="15" w:type="dxa"/>
              <w:right w:w="15" w:type="dxa"/>
            </w:tcMar>
            <w:vAlign w:val="center"/>
          </w:tcPr>
          <w:p w14:paraId="709DA420">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2026年4月-2026年12月</w:t>
            </w:r>
          </w:p>
        </w:tc>
        <w:tc>
          <w:tcPr>
            <w:tcW w:w="1411" w:type="dxa"/>
            <w:vMerge w:val="restart"/>
            <w:noWrap w:val="0"/>
            <w:tcMar>
              <w:top w:w="15" w:type="dxa"/>
              <w:left w:w="15" w:type="dxa"/>
              <w:right w:w="15" w:type="dxa"/>
            </w:tcMar>
            <w:vAlign w:val="center"/>
          </w:tcPr>
          <w:p w14:paraId="6A3FF3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sz w:val="21"/>
                <w:szCs w:val="21"/>
                <w:lang w:val="en-US" w:eastAsia="zh-CN"/>
              </w:rPr>
            </w:pPr>
          </w:p>
        </w:tc>
      </w:tr>
      <w:tr w14:paraId="3909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609" w:type="dxa"/>
            <w:noWrap w:val="0"/>
            <w:tcMar>
              <w:top w:w="15" w:type="dxa"/>
              <w:left w:w="15" w:type="dxa"/>
              <w:right w:w="15" w:type="dxa"/>
            </w:tcMar>
            <w:vAlign w:val="center"/>
          </w:tcPr>
          <w:p w14:paraId="54F1725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服务范围</w:t>
            </w:r>
          </w:p>
        </w:tc>
        <w:tc>
          <w:tcPr>
            <w:tcW w:w="7119" w:type="dxa"/>
            <w:noWrap w:val="0"/>
            <w:tcMar>
              <w:top w:w="15" w:type="dxa"/>
              <w:left w:w="15" w:type="dxa"/>
              <w:right w:w="15" w:type="dxa"/>
            </w:tcMar>
            <w:vAlign w:val="center"/>
          </w:tcPr>
          <w:p w14:paraId="72C7677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温江区范围内的农贸市场、党政机关单位等内外环境。</w:t>
            </w:r>
          </w:p>
        </w:tc>
        <w:tc>
          <w:tcPr>
            <w:tcW w:w="1411" w:type="dxa"/>
            <w:vMerge w:val="continue"/>
            <w:noWrap w:val="0"/>
            <w:tcMar>
              <w:top w:w="15" w:type="dxa"/>
              <w:left w:w="15" w:type="dxa"/>
              <w:right w:w="15" w:type="dxa"/>
            </w:tcMar>
            <w:vAlign w:val="center"/>
          </w:tcPr>
          <w:p w14:paraId="7811FA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sz w:val="21"/>
                <w:szCs w:val="21"/>
                <w:lang w:val="en-US" w:eastAsia="zh-CN"/>
              </w:rPr>
            </w:pPr>
          </w:p>
        </w:tc>
      </w:tr>
      <w:tr w14:paraId="61C0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jc w:val="center"/>
        </w:trPr>
        <w:tc>
          <w:tcPr>
            <w:tcW w:w="1609" w:type="dxa"/>
            <w:noWrap w:val="0"/>
            <w:tcMar>
              <w:top w:w="15" w:type="dxa"/>
              <w:left w:w="15" w:type="dxa"/>
              <w:right w:w="15" w:type="dxa"/>
            </w:tcMar>
            <w:vAlign w:val="center"/>
          </w:tcPr>
          <w:p w14:paraId="6EB81CB4">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服务内容</w:t>
            </w:r>
          </w:p>
        </w:tc>
        <w:tc>
          <w:tcPr>
            <w:tcW w:w="7119" w:type="dxa"/>
            <w:noWrap w:val="0"/>
            <w:tcMar>
              <w:top w:w="15" w:type="dxa"/>
              <w:left w:w="15" w:type="dxa"/>
              <w:right w:w="15" w:type="dxa"/>
            </w:tcMar>
            <w:vAlign w:val="center"/>
          </w:tcPr>
          <w:p w14:paraId="0F98569C">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蚊、蝇、鼠、蟑等病媒生物综合防制、定期监测、定向消杀。</w:t>
            </w:r>
          </w:p>
        </w:tc>
        <w:tc>
          <w:tcPr>
            <w:tcW w:w="1411" w:type="dxa"/>
            <w:vMerge w:val="continue"/>
            <w:noWrap w:val="0"/>
            <w:tcMar>
              <w:top w:w="15" w:type="dxa"/>
              <w:left w:w="15" w:type="dxa"/>
              <w:right w:w="15" w:type="dxa"/>
            </w:tcMar>
            <w:vAlign w:val="center"/>
          </w:tcPr>
          <w:p w14:paraId="0CCC4F6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sz w:val="21"/>
                <w:szCs w:val="21"/>
                <w:lang w:val="en-US" w:eastAsia="zh-CN"/>
              </w:rPr>
            </w:pPr>
          </w:p>
        </w:tc>
      </w:tr>
      <w:tr w14:paraId="1481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0" w:hRule="atLeast"/>
          <w:jc w:val="center"/>
        </w:trPr>
        <w:tc>
          <w:tcPr>
            <w:tcW w:w="1609" w:type="dxa"/>
            <w:noWrap w:val="0"/>
            <w:tcMar>
              <w:top w:w="15" w:type="dxa"/>
              <w:left w:w="15" w:type="dxa"/>
              <w:right w:w="15" w:type="dxa"/>
            </w:tcMar>
            <w:vAlign w:val="center"/>
          </w:tcPr>
          <w:p w14:paraId="4BAC54E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服务频次</w:t>
            </w:r>
          </w:p>
        </w:tc>
        <w:tc>
          <w:tcPr>
            <w:tcW w:w="7119" w:type="dxa"/>
            <w:noWrap w:val="0"/>
            <w:tcMar>
              <w:top w:w="15" w:type="dxa"/>
              <w:left w:w="15" w:type="dxa"/>
              <w:right w:w="15" w:type="dxa"/>
            </w:tcMar>
            <w:vAlign w:val="center"/>
          </w:tcPr>
          <w:p w14:paraId="026D06C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1、灭鼠：10月全市集中灭鼠期间开展一次全面集中灭鼠活动，常规每季度开展1次集中灭鼠，至少开展4次集中灭鼠行动。</w:t>
            </w:r>
          </w:p>
          <w:p w14:paraId="4325DDB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2、灭蚊蝇：每季度开展1次，采用喷洒法，对农贸市场、党政机关单位及外环境绿化带等地内外环境进行全覆盖消杀。</w:t>
            </w:r>
          </w:p>
          <w:p w14:paraId="0B6CD499">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3、灭蟑螂：每季度开展1次，集中采用药物喷洒和毒饵法对农贸市场、党政机关等蟑螂重点孳生场所进行统一的灭蟑消杀，并对公共外环境的下水道用灭蟑热雾剂进行热烟雾处理。</w:t>
            </w:r>
          </w:p>
          <w:p w14:paraId="072600B3">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4、同时每月抽取10%的点位（向上取整）进行四害密度监测，根据监测结果进行定向消杀。</w:t>
            </w:r>
          </w:p>
        </w:tc>
        <w:tc>
          <w:tcPr>
            <w:tcW w:w="1411" w:type="dxa"/>
            <w:vMerge w:val="continue"/>
            <w:noWrap w:val="0"/>
            <w:tcMar>
              <w:top w:w="15" w:type="dxa"/>
              <w:left w:w="15" w:type="dxa"/>
              <w:right w:w="15" w:type="dxa"/>
            </w:tcMar>
            <w:vAlign w:val="center"/>
          </w:tcPr>
          <w:p w14:paraId="1E9848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 w:hAnsi="仿宋" w:eastAsia="仿宋" w:cs="仿宋"/>
                <w:sz w:val="24"/>
                <w:szCs w:val="24"/>
                <w:lang w:val="en-US" w:eastAsia="zh-CN"/>
              </w:rPr>
            </w:pPr>
          </w:p>
        </w:tc>
      </w:tr>
    </w:tbl>
    <w:p w14:paraId="5BB42A5B">
      <w:pPr>
        <w:keepNext w:val="0"/>
        <w:keepLines w:val="0"/>
        <w:pageBreakBefore w:val="0"/>
        <w:widowControl/>
        <w:kinsoku/>
        <w:wordWrap/>
        <w:overflowPunct/>
        <w:topLinePunct w:val="0"/>
        <w:autoSpaceDE/>
        <w:autoSpaceDN/>
        <w:bidi w:val="0"/>
        <w:adjustRightInd/>
        <w:snapToGrid/>
        <w:spacing w:line="700" w:lineRule="exact"/>
        <w:ind w:right="0" w:rightChars="0" w:firstLine="560" w:firstLineChars="200"/>
        <w:jc w:val="left"/>
        <w:textAlignment w:val="auto"/>
        <w:outlineLvl w:val="5"/>
        <w:rPr>
          <w:rFonts w:hint="eastAsia" w:ascii="宋体" w:hAnsi="宋体" w:eastAsia="宋体" w:cs="宋体"/>
          <w:color w:val="auto"/>
          <w:sz w:val="52"/>
          <w:szCs w:val="52"/>
          <w:highlight w:val="none"/>
          <w:lang w:val="en-US" w:eastAsia="zh-CN"/>
        </w:rPr>
      </w:pPr>
      <w:r>
        <w:rPr>
          <w:rFonts w:hint="eastAsia" w:ascii="宋体" w:hAnsi="宋体" w:eastAsia="宋体" w:cs="宋体"/>
          <w:b w:val="0"/>
          <w:bCs w:val="0"/>
          <w:color w:val="auto"/>
          <w:kern w:val="2"/>
          <w:sz w:val="28"/>
          <w:szCs w:val="28"/>
          <w:lang w:val="en-US" w:eastAsia="zh-CN" w:bidi="ar-SA"/>
        </w:rPr>
        <w:t>四、</w:t>
      </w:r>
      <w:r>
        <w:rPr>
          <w:rFonts w:hint="eastAsia" w:ascii="宋体" w:hAnsi="宋体" w:eastAsia="宋体" w:cs="宋体"/>
          <w:b w:val="0"/>
          <w:bCs w:val="0"/>
          <w:color w:val="auto"/>
          <w:sz w:val="28"/>
          <w:szCs w:val="28"/>
          <w:highlight w:val="none"/>
          <w:lang w:val="en-US" w:eastAsia="zh-CN"/>
        </w:rPr>
        <w:t>报价文件：文件中实质性要求不得负偏离，如负偏离则报价文件无效；报价文件需用中文编制，A4纸印制装订，1套正本，每页需加盖参选人公章，未按照报价文件资料要求内容提交的文件作无效文件处理。</w:t>
      </w:r>
    </w:p>
    <w:p w14:paraId="4AF5B412">
      <w:pPr>
        <w:keepNext w:val="0"/>
        <w:keepLines w:val="0"/>
        <w:pageBreakBefore w:val="0"/>
        <w:widowControl/>
        <w:kinsoku/>
        <w:wordWrap/>
        <w:overflowPunct/>
        <w:topLinePunct w:val="0"/>
        <w:autoSpaceDE/>
        <w:autoSpaceDN/>
        <w:bidi w:val="0"/>
        <w:adjustRightInd/>
        <w:snapToGrid/>
        <w:spacing w:line="240" w:lineRule="auto"/>
        <w:ind w:left="0" w:right="0" w:rightChars="0"/>
        <w:jc w:val="both"/>
        <w:textAlignment w:val="auto"/>
        <w:outlineLvl w:val="5"/>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附件2</w:t>
      </w:r>
    </w:p>
    <w:p w14:paraId="587F6A03">
      <w:pPr>
        <w:pStyle w:val="5"/>
        <w:numPr>
          <w:ilvl w:val="0"/>
          <w:numId w:val="0"/>
        </w:numPr>
        <w:tabs>
          <w:tab w:val="left" w:pos="360"/>
        </w:tabs>
        <w:spacing w:line="240" w:lineRule="auto"/>
        <w:jc w:val="center"/>
        <w:outlineLvl w:val="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评审办法和标准</w:t>
      </w:r>
    </w:p>
    <w:p w14:paraId="09B2595F">
      <w:pPr>
        <w:spacing w:line="360" w:lineRule="auto"/>
        <w:contextualSpacing/>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一、总则</w:t>
      </w:r>
    </w:p>
    <w:p w14:paraId="3FEC14ED">
      <w:pPr>
        <w:adjustRightInd w:val="0"/>
        <w:spacing w:line="360" w:lineRule="auto"/>
        <w:ind w:firstLine="411" w:firstLineChars="196"/>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1.1本次评审活动遵循公平、公正、科学、择优的原则。</w:t>
      </w:r>
    </w:p>
    <w:p w14:paraId="233F8119">
      <w:pPr>
        <w:adjustRightInd w:val="0"/>
        <w:spacing w:line="360" w:lineRule="auto"/>
        <w:ind w:firstLine="411" w:firstLineChars="196"/>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w:t>
      </w:r>
      <w:r>
        <w:rPr>
          <w:rFonts w:hint="eastAsia" w:asciiTheme="minorEastAsia" w:hAnsiTheme="minorEastAsia" w:cstheme="minorEastAsia"/>
          <w:color w:val="auto"/>
          <w:szCs w:val="21"/>
          <w:highlight w:val="none"/>
          <w:lang w:val="en-US" w:eastAsia="zh-CN"/>
        </w:rPr>
        <w:t>比选人</w:t>
      </w:r>
      <w:r>
        <w:rPr>
          <w:rFonts w:hint="eastAsia" w:asciiTheme="minorEastAsia" w:hAnsiTheme="minorEastAsia" w:eastAsiaTheme="minorEastAsia" w:cstheme="minorEastAsia"/>
          <w:color w:val="auto"/>
          <w:szCs w:val="21"/>
          <w:highlight w:val="none"/>
        </w:rPr>
        <w:t>将在</w:t>
      </w:r>
      <w:r>
        <w:rPr>
          <w:rFonts w:hint="eastAsia" w:asciiTheme="minorEastAsia" w:hAnsiTheme="minorEastAsia" w:cstheme="minorEastAsia"/>
          <w:color w:val="auto"/>
          <w:szCs w:val="21"/>
          <w:highlight w:val="none"/>
          <w:lang w:val="en-US" w:eastAsia="zh-CN"/>
        </w:rPr>
        <w:t>报价</w:t>
      </w:r>
      <w:r>
        <w:rPr>
          <w:rFonts w:hint="eastAsia" w:asciiTheme="minorEastAsia" w:hAnsiTheme="minorEastAsia" w:eastAsiaTheme="minorEastAsia" w:cstheme="minorEastAsia"/>
          <w:color w:val="auto"/>
          <w:szCs w:val="21"/>
          <w:highlight w:val="none"/>
          <w:lang w:eastAsia="zh-CN"/>
        </w:rPr>
        <w:t>文件</w:t>
      </w:r>
      <w:r>
        <w:rPr>
          <w:rFonts w:hint="eastAsia" w:asciiTheme="minorEastAsia" w:hAnsiTheme="minorEastAsia" w:eastAsiaTheme="minorEastAsia" w:cstheme="minorEastAsia"/>
          <w:color w:val="auto"/>
          <w:szCs w:val="21"/>
          <w:highlight w:val="none"/>
        </w:rPr>
        <w:t>递交截止</w:t>
      </w:r>
      <w:r>
        <w:rPr>
          <w:rFonts w:hint="eastAsia" w:asciiTheme="minorEastAsia" w:hAnsiTheme="minorEastAsia" w:cstheme="minorEastAsia"/>
          <w:color w:val="auto"/>
          <w:szCs w:val="21"/>
          <w:highlight w:val="none"/>
          <w:lang w:val="en-US" w:eastAsia="zh-CN"/>
        </w:rPr>
        <w:t>时间后，将已递交的报价文件</w:t>
      </w:r>
      <w:r>
        <w:rPr>
          <w:rFonts w:hint="eastAsia" w:asciiTheme="minorEastAsia" w:hAnsiTheme="minorEastAsia" w:eastAsiaTheme="minorEastAsia" w:cstheme="minorEastAsia"/>
          <w:color w:val="auto"/>
          <w:szCs w:val="21"/>
          <w:highlight w:val="none"/>
        </w:rPr>
        <w:t>交由</w:t>
      </w: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进行评审。在本文件规定的</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递交截止时间后提交的</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，比选人将拒绝接收。</w:t>
      </w:r>
    </w:p>
    <w:p w14:paraId="7D316B04">
      <w:pPr>
        <w:spacing w:line="360" w:lineRule="auto"/>
        <w:contextualSpacing/>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rPr>
        <w:t>二、</w:t>
      </w:r>
      <w:r>
        <w:rPr>
          <w:rFonts w:hint="eastAsia" w:asciiTheme="minorEastAsia" w:hAnsiTheme="minorEastAsia" w:cstheme="minorEastAsia"/>
          <w:b/>
          <w:bCs/>
          <w:color w:val="auto"/>
          <w:highlight w:val="none"/>
          <w:lang w:eastAsia="zh-CN"/>
        </w:rPr>
        <w:t>评审小组</w:t>
      </w:r>
    </w:p>
    <w:p w14:paraId="79A0EC24">
      <w:pPr>
        <w:adjustRightInd w:val="0"/>
        <w:spacing w:line="360" w:lineRule="auto"/>
        <w:ind w:firstLine="472" w:firstLineChars="225"/>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2.1本项目的</w:t>
      </w: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由比选人按照相关规定组建。</w:t>
      </w:r>
    </w:p>
    <w:p w14:paraId="18F552F7">
      <w:pPr>
        <w:adjustRightInd w:val="0"/>
        <w:spacing w:line="360" w:lineRule="auto"/>
        <w:ind w:firstLine="472" w:firstLineChars="225"/>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w:t>
      </w: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成员应当客观、公正地履行职责，遵守职业道德，对所提出的评审意见承担个人责任。</w:t>
      </w:r>
    </w:p>
    <w:p w14:paraId="7F0FEDF4">
      <w:pPr>
        <w:adjustRightInd w:val="0"/>
        <w:spacing w:line="360" w:lineRule="auto"/>
        <w:ind w:firstLine="472" w:firstLineChars="225"/>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2.3评审程序：资格审查---符合性评审---详细评审---推荐</w:t>
      </w:r>
      <w:r>
        <w:rPr>
          <w:rFonts w:hint="eastAsia" w:asciiTheme="minorEastAsia" w:hAnsiTheme="minorEastAsia" w:eastAsiaTheme="minorEastAsia" w:cstheme="minorEastAsia"/>
          <w:color w:val="auto"/>
          <w:szCs w:val="21"/>
          <w:highlight w:val="none"/>
          <w:lang w:eastAsia="zh-CN"/>
        </w:rPr>
        <w:t>候选人</w:t>
      </w:r>
      <w:r>
        <w:rPr>
          <w:rFonts w:hint="eastAsia" w:asciiTheme="minorEastAsia" w:hAnsiTheme="minorEastAsia" w:eastAsiaTheme="minorEastAsia" w:cstheme="minorEastAsia"/>
          <w:color w:val="auto"/>
          <w:szCs w:val="21"/>
          <w:highlight w:val="none"/>
        </w:rPr>
        <w:t>。</w:t>
      </w:r>
    </w:p>
    <w:p w14:paraId="4C34D2F7">
      <w:pPr>
        <w:adjustRightInd w:val="0"/>
        <w:spacing w:line="360" w:lineRule="auto"/>
        <w:ind w:firstLine="472" w:firstLineChars="225"/>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2.4在评审过程中，凡未通过上一评审程序的</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，不再进入后续评审程序。</w:t>
      </w:r>
    </w:p>
    <w:p w14:paraId="19DD937F">
      <w:pPr>
        <w:spacing w:line="360" w:lineRule="auto"/>
        <w:contextualSpacing/>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三、资格审查</w:t>
      </w:r>
    </w:p>
    <w:p w14:paraId="0B994C29">
      <w:pPr>
        <w:adjustRightInd w:val="0"/>
        <w:spacing w:line="360" w:lineRule="auto"/>
        <w:ind w:firstLine="420" w:firstLineChars="200"/>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w:t>
      </w: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首先对所有</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进行资格审查，资格审查实行强制性合格条件标准（见下表），凡有一项不合格则不能通过。资格审查未通过的不再进入下步评审。</w:t>
      </w:r>
    </w:p>
    <w:p w14:paraId="0A4A4D12">
      <w:pPr>
        <w:adjustRightInd w:val="0"/>
        <w:spacing w:line="360" w:lineRule="auto"/>
        <w:ind w:right="71" w:rightChars="34"/>
        <w:contextualSpacing/>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zCs w:val="21"/>
          <w:highlight w:val="none"/>
        </w:rPr>
        <w:t>资格审查</w:t>
      </w:r>
    </w:p>
    <w:tbl>
      <w:tblPr>
        <w:tblStyle w:val="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38"/>
        <w:gridCol w:w="2693"/>
        <w:gridCol w:w="3686"/>
      </w:tblGrid>
      <w:tr w14:paraId="29C5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2746E828">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序号</w:t>
            </w:r>
          </w:p>
        </w:tc>
        <w:tc>
          <w:tcPr>
            <w:tcW w:w="2238" w:type="dxa"/>
            <w:tcBorders>
              <w:top w:val="single" w:color="auto" w:sz="4" w:space="0"/>
              <w:left w:val="single" w:color="auto" w:sz="4" w:space="0"/>
              <w:bottom w:val="single" w:color="auto" w:sz="4" w:space="0"/>
              <w:right w:val="single" w:color="auto" w:sz="4" w:space="0"/>
            </w:tcBorders>
            <w:vAlign w:val="center"/>
          </w:tcPr>
          <w:p w14:paraId="20FBD308">
            <w:pPr>
              <w:adjustRightInd w:val="0"/>
              <w:spacing w:line="276" w:lineRule="auto"/>
              <w:ind w:firstLine="472" w:firstLineChars="225"/>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审查内容</w:t>
            </w:r>
          </w:p>
        </w:tc>
        <w:tc>
          <w:tcPr>
            <w:tcW w:w="2693" w:type="dxa"/>
            <w:tcBorders>
              <w:top w:val="single" w:color="auto" w:sz="4" w:space="0"/>
              <w:left w:val="single" w:color="auto" w:sz="4" w:space="0"/>
              <w:bottom w:val="single" w:color="auto" w:sz="4" w:space="0"/>
              <w:right w:val="single" w:color="auto" w:sz="4" w:space="0"/>
            </w:tcBorders>
            <w:vAlign w:val="center"/>
          </w:tcPr>
          <w:p w14:paraId="5D46054E">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合格条件</w:t>
            </w:r>
          </w:p>
        </w:tc>
        <w:tc>
          <w:tcPr>
            <w:tcW w:w="3686" w:type="dxa"/>
            <w:tcBorders>
              <w:top w:val="single" w:color="auto" w:sz="4" w:space="0"/>
              <w:left w:val="single" w:color="auto" w:sz="4" w:space="0"/>
              <w:bottom w:val="single" w:color="auto" w:sz="4" w:space="0"/>
              <w:right w:val="single" w:color="auto" w:sz="4" w:space="0"/>
            </w:tcBorders>
            <w:vAlign w:val="center"/>
          </w:tcPr>
          <w:p w14:paraId="007A5088">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备注</w:t>
            </w:r>
          </w:p>
        </w:tc>
      </w:tr>
      <w:tr w14:paraId="22B0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48E05780">
            <w:pPr>
              <w:numPr>
                <w:ilvl w:val="0"/>
                <w:numId w:val="2"/>
              </w:numPr>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4C3628A9">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具有独立承担民事责任的能力</w:t>
            </w:r>
          </w:p>
        </w:tc>
        <w:tc>
          <w:tcPr>
            <w:tcW w:w="2693" w:type="dxa"/>
            <w:tcBorders>
              <w:top w:val="single" w:color="auto" w:sz="4" w:space="0"/>
              <w:left w:val="single" w:color="auto" w:sz="4" w:space="0"/>
              <w:bottom w:val="single" w:color="auto" w:sz="4" w:space="0"/>
              <w:right w:val="single" w:color="auto" w:sz="4" w:space="0"/>
            </w:tcBorders>
            <w:vAlign w:val="center"/>
          </w:tcPr>
          <w:p w14:paraId="145EFAD0">
            <w:pPr>
              <w:adjustRightInd w:val="0"/>
              <w:spacing w:line="276"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具有独立承担民事责任的能力</w:t>
            </w:r>
          </w:p>
        </w:tc>
        <w:tc>
          <w:tcPr>
            <w:tcW w:w="3686" w:type="dxa"/>
            <w:tcBorders>
              <w:top w:val="single" w:color="auto" w:sz="4" w:space="0"/>
              <w:left w:val="single" w:color="auto" w:sz="4" w:space="0"/>
              <w:bottom w:val="single" w:color="auto" w:sz="4" w:space="0"/>
              <w:right w:val="single" w:color="auto" w:sz="4" w:space="0"/>
            </w:tcBorders>
            <w:vAlign w:val="center"/>
          </w:tcPr>
          <w:p w14:paraId="10E61278">
            <w:pPr>
              <w:adjustRightInd w:val="0"/>
              <w:spacing w:line="276"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注：①</w:t>
            </w:r>
            <w:r>
              <w:rPr>
                <w:rFonts w:hint="eastAsia" w:asciiTheme="minorEastAsia" w:hAnsiTheme="minorEastAsia" w:eastAsiaTheme="minorEastAsia" w:cstheme="minorEastAsia"/>
                <w:bCs/>
                <w:color w:val="auto"/>
                <w:szCs w:val="21"/>
                <w:highlight w:val="none"/>
                <w:lang w:eastAsia="zh-CN"/>
              </w:rPr>
              <w:t>参选人</w:t>
            </w:r>
            <w:r>
              <w:rPr>
                <w:rFonts w:hint="eastAsia" w:asciiTheme="minorEastAsia" w:hAnsiTheme="minorEastAsia" w:eastAsiaTheme="minorEastAsia" w:cstheme="minorEastAsia"/>
                <w:bCs/>
                <w:color w:val="auto"/>
                <w:szCs w:val="21"/>
                <w:highlight w:val="none"/>
              </w:rPr>
              <w:t>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w:t>
            </w:r>
            <w:r>
              <w:rPr>
                <w:rFonts w:hint="eastAsia" w:asciiTheme="minorEastAsia" w:hAnsiTheme="minorEastAsia" w:eastAsiaTheme="minorEastAsia" w:cstheme="minorEastAsia"/>
                <w:bCs/>
                <w:color w:val="auto"/>
                <w:szCs w:val="21"/>
                <w:highlight w:val="none"/>
                <w:lang w:eastAsia="zh-CN"/>
              </w:rPr>
              <w:t>资料</w:t>
            </w:r>
            <w:r>
              <w:rPr>
                <w:rFonts w:hint="eastAsia" w:asciiTheme="minorEastAsia" w:hAnsiTheme="minorEastAsia" w:eastAsiaTheme="minorEastAsia" w:cstheme="minorEastAsia"/>
                <w:bCs/>
                <w:color w:val="auto"/>
                <w:szCs w:val="21"/>
                <w:highlight w:val="none"/>
              </w:rPr>
              <w:t>”。以上均提供复印件</w:t>
            </w:r>
          </w:p>
        </w:tc>
      </w:tr>
      <w:tr w14:paraId="0D9E9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1A7C1823">
            <w:pPr>
              <w:numPr>
                <w:ilvl w:val="0"/>
                <w:numId w:val="2"/>
              </w:numPr>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7167B938">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商业信誉和财务会计制度</w:t>
            </w:r>
          </w:p>
        </w:tc>
        <w:tc>
          <w:tcPr>
            <w:tcW w:w="2693" w:type="dxa"/>
            <w:tcBorders>
              <w:top w:val="single" w:color="auto" w:sz="4" w:space="0"/>
              <w:left w:val="single" w:color="auto" w:sz="4" w:space="0"/>
              <w:bottom w:val="single" w:color="auto" w:sz="4" w:space="0"/>
              <w:right w:val="single" w:color="auto" w:sz="4" w:space="0"/>
            </w:tcBorders>
            <w:vAlign w:val="center"/>
          </w:tcPr>
          <w:p w14:paraId="5923DA89">
            <w:pPr>
              <w:adjustRightInd w:val="0"/>
              <w:spacing w:line="276"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具有良好的商业信誉和健全的财务会计制度</w:t>
            </w:r>
          </w:p>
        </w:tc>
        <w:tc>
          <w:tcPr>
            <w:tcW w:w="3686" w:type="dxa"/>
            <w:tcBorders>
              <w:top w:val="single" w:color="auto" w:sz="4" w:space="0"/>
              <w:left w:val="single" w:color="auto" w:sz="4" w:space="0"/>
              <w:right w:val="single" w:color="auto" w:sz="4" w:space="0"/>
            </w:tcBorders>
            <w:vAlign w:val="center"/>
          </w:tcPr>
          <w:p w14:paraId="2E5FFF5B">
            <w:pPr>
              <w:adjustRightInd w:val="0"/>
              <w:spacing w:line="276" w:lineRule="auto"/>
              <w:contextualSpacing/>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注：①提供202</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年度</w:t>
            </w:r>
            <w:r>
              <w:rPr>
                <w:rFonts w:hint="eastAsia" w:asciiTheme="minorEastAsia" w:hAnsiTheme="minorEastAsia" w:cstheme="minorEastAsia"/>
                <w:color w:val="auto"/>
                <w:highlight w:val="none"/>
                <w:lang w:val="en-US" w:eastAsia="zh-CN"/>
              </w:rPr>
              <w:t>或2025年度</w:t>
            </w:r>
            <w:r>
              <w:rPr>
                <w:rFonts w:hint="eastAsia" w:asciiTheme="minorEastAsia" w:hAnsiTheme="minorEastAsia" w:eastAsiaTheme="minorEastAsia" w:cstheme="minorEastAsia"/>
                <w:color w:val="auto"/>
                <w:highlight w:val="none"/>
              </w:rPr>
              <w:t>经审计的财务报告复印件（包含审计报告和审计报告中所涉及的财务报表和报表附注），②提供202</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年度</w:t>
            </w:r>
            <w:r>
              <w:rPr>
                <w:rFonts w:hint="eastAsia" w:asciiTheme="minorEastAsia" w:hAnsiTheme="minorEastAsia" w:cstheme="minorEastAsia"/>
                <w:color w:val="auto"/>
                <w:highlight w:val="none"/>
                <w:lang w:val="en-US" w:eastAsia="zh-CN"/>
              </w:rPr>
              <w:t>或2025年度</w:t>
            </w:r>
            <w:r>
              <w:rPr>
                <w:rFonts w:hint="eastAsia" w:asciiTheme="minorEastAsia" w:hAnsiTheme="minorEastAsia" w:eastAsiaTheme="minorEastAsia" w:cstheme="minorEastAsia"/>
                <w:color w:val="auto"/>
                <w:highlight w:val="none"/>
                <w:lang w:eastAsia="zh-CN"/>
              </w:rPr>
              <w:t>参选人</w:t>
            </w:r>
            <w:r>
              <w:rPr>
                <w:rFonts w:hint="eastAsia" w:asciiTheme="minorEastAsia" w:hAnsiTheme="minorEastAsia" w:eastAsiaTheme="minorEastAsia" w:cstheme="minorEastAsia"/>
                <w:color w:val="auto"/>
                <w:highlight w:val="none"/>
              </w:rPr>
              <w:t>内部的财务报表复印件（至少包含资产负债表），③提供截至</w:t>
            </w:r>
            <w:r>
              <w:rPr>
                <w:rFonts w:hint="eastAsia" w:asciiTheme="minorEastAsia" w:hAnsiTheme="minorEastAsia" w:cstheme="minorEastAsia"/>
                <w:color w:val="auto"/>
                <w:highlight w:val="none"/>
                <w:lang w:eastAsia="zh-CN"/>
              </w:rPr>
              <w:t>报价文件</w:t>
            </w:r>
            <w:r>
              <w:rPr>
                <w:rFonts w:hint="eastAsia" w:asciiTheme="minorEastAsia" w:hAnsiTheme="minorEastAsia" w:eastAsiaTheme="minorEastAsia" w:cstheme="minorEastAsia"/>
                <w:color w:val="auto"/>
                <w:highlight w:val="none"/>
              </w:rPr>
              <w:t>递交截止日一年内银行出具的资信证明（复印件），④</w:t>
            </w:r>
            <w:r>
              <w:rPr>
                <w:rFonts w:hint="eastAsia" w:asciiTheme="minorEastAsia" w:hAnsiTheme="minorEastAsia" w:eastAsiaTheme="minorEastAsia" w:cstheme="minorEastAsia"/>
                <w:color w:val="auto"/>
                <w:highlight w:val="none"/>
                <w:lang w:eastAsia="zh-CN"/>
              </w:rPr>
              <w:t>参选人</w:t>
            </w:r>
            <w:r>
              <w:rPr>
                <w:rFonts w:hint="eastAsia" w:asciiTheme="minorEastAsia" w:hAnsiTheme="minorEastAsia" w:eastAsiaTheme="minorEastAsia" w:cstheme="minorEastAsia"/>
                <w:color w:val="auto"/>
                <w:highlight w:val="none"/>
              </w:rPr>
              <w:t>注册时间截至</w:t>
            </w:r>
            <w:r>
              <w:rPr>
                <w:rFonts w:hint="eastAsia" w:asciiTheme="minorEastAsia" w:hAnsiTheme="minorEastAsia" w:cstheme="minorEastAsia"/>
                <w:color w:val="auto"/>
                <w:highlight w:val="none"/>
                <w:lang w:eastAsia="zh-CN"/>
              </w:rPr>
              <w:t>报价文件</w:t>
            </w:r>
            <w:r>
              <w:rPr>
                <w:rFonts w:hint="eastAsia" w:asciiTheme="minorEastAsia" w:hAnsiTheme="minorEastAsia" w:eastAsiaTheme="minorEastAsia" w:cstheme="minorEastAsia"/>
                <w:color w:val="auto"/>
                <w:highlight w:val="none"/>
              </w:rPr>
              <w:t>递交截止日不足一年的，也可提供加盖工商备案主管部门印章的公司章程复印件。</w:t>
            </w:r>
          </w:p>
          <w:p w14:paraId="07F7B478">
            <w:pPr>
              <w:adjustRightInd w:val="0"/>
              <w:spacing w:line="276" w:lineRule="auto"/>
              <w:contextualSpacing/>
              <w:jc w:val="both"/>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⑤提供承诺函。</w:t>
            </w:r>
          </w:p>
          <w:p w14:paraId="0C6F4C87">
            <w:pPr>
              <w:adjustRightInd w:val="0"/>
              <w:spacing w:line="276" w:lineRule="auto"/>
              <w:contextualSpacing/>
              <w:jc w:val="both"/>
              <w:rPr>
                <w:rFonts w:hint="default"/>
                <w:lang w:val="en-US" w:eastAsia="zh-CN"/>
              </w:rPr>
            </w:pPr>
            <w:r>
              <w:rPr>
                <w:rFonts w:hint="eastAsia" w:asciiTheme="minorEastAsia" w:hAnsiTheme="minorEastAsia" w:eastAsiaTheme="minorEastAsia" w:cstheme="minorEastAsia"/>
                <w:color w:val="auto"/>
                <w:highlight w:val="none"/>
                <w:lang w:val="en-US" w:eastAsia="zh-CN"/>
              </w:rPr>
              <w:t>注：参选人根据自身情况自行选择以上1-5条要求中任意一种提供。</w:t>
            </w:r>
          </w:p>
        </w:tc>
      </w:tr>
      <w:tr w14:paraId="024C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0830770">
            <w:pPr>
              <w:numPr>
                <w:ilvl w:val="0"/>
                <w:numId w:val="2"/>
              </w:numPr>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14:paraId="456F862B">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设备和专业技术能力</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AD619F0">
            <w:pPr>
              <w:adjustRightInd w:val="0"/>
              <w:spacing w:line="276"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具有履行合同所必需的设备和专业技术能力</w:t>
            </w:r>
          </w:p>
        </w:tc>
        <w:tc>
          <w:tcPr>
            <w:tcW w:w="3686" w:type="dxa"/>
            <w:vMerge w:val="restart"/>
            <w:tcBorders>
              <w:left w:val="single" w:color="auto" w:sz="4" w:space="0"/>
              <w:right w:val="single" w:color="auto" w:sz="4" w:space="0"/>
            </w:tcBorders>
            <w:vAlign w:val="center"/>
          </w:tcPr>
          <w:p w14:paraId="3B66DA01">
            <w:pPr>
              <w:adjustRightInd w:val="0"/>
              <w:spacing w:line="276" w:lineRule="auto"/>
              <w:contextualSpacing/>
              <w:jc w:val="center"/>
              <w:rPr>
                <w:rFonts w:hint="default"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承诺函或相关证明材料</w:t>
            </w:r>
          </w:p>
          <w:p w14:paraId="4FF38B59">
            <w:pPr>
              <w:adjustRightInd w:val="0"/>
              <w:spacing w:line="276" w:lineRule="auto"/>
              <w:contextualSpacing/>
              <w:jc w:val="both"/>
              <w:rPr>
                <w:rFonts w:hint="eastAsia" w:asciiTheme="minorEastAsia" w:hAnsiTheme="minorEastAsia" w:eastAsiaTheme="minorEastAsia" w:cstheme="minorEastAsia"/>
                <w:bCs/>
                <w:color w:val="auto"/>
                <w:szCs w:val="21"/>
                <w:highlight w:val="none"/>
              </w:rPr>
            </w:pPr>
          </w:p>
          <w:p w14:paraId="213A2401">
            <w:pPr>
              <w:adjustRightInd w:val="0"/>
              <w:spacing w:line="276" w:lineRule="auto"/>
              <w:ind w:firstLine="472" w:firstLineChars="225"/>
              <w:contextualSpacing/>
              <w:jc w:val="center"/>
              <w:rPr>
                <w:rFonts w:hint="eastAsia" w:asciiTheme="minorEastAsia" w:hAnsiTheme="minorEastAsia" w:eastAsiaTheme="minorEastAsia" w:cstheme="minorEastAsia"/>
                <w:bCs/>
                <w:color w:val="auto"/>
                <w:szCs w:val="21"/>
                <w:highlight w:val="none"/>
                <w:lang w:val="en-US" w:eastAsia="zh-CN"/>
              </w:rPr>
            </w:pPr>
          </w:p>
        </w:tc>
      </w:tr>
      <w:tr w14:paraId="65BF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B0E139A">
            <w:pPr>
              <w:numPr>
                <w:ilvl w:val="0"/>
                <w:numId w:val="2"/>
              </w:numPr>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shd w:val="clear" w:color="auto" w:fill="auto"/>
            <w:vAlign w:val="center"/>
          </w:tcPr>
          <w:p w14:paraId="6BE17938">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税收和社会保障资金</w:t>
            </w:r>
          </w:p>
        </w:tc>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10727B1E">
            <w:pPr>
              <w:adjustRightInd w:val="0"/>
              <w:spacing w:line="276"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具有依法缴纳税收和社会保障资金的良好记录</w:t>
            </w:r>
          </w:p>
        </w:tc>
        <w:tc>
          <w:tcPr>
            <w:tcW w:w="3686" w:type="dxa"/>
            <w:vMerge w:val="continue"/>
            <w:tcBorders>
              <w:left w:val="single" w:color="auto" w:sz="4" w:space="0"/>
              <w:right w:val="single" w:color="auto" w:sz="4" w:space="0"/>
            </w:tcBorders>
            <w:vAlign w:val="center"/>
          </w:tcPr>
          <w:p w14:paraId="11910C3D">
            <w:pPr>
              <w:adjustRightInd w:val="0"/>
              <w:spacing w:line="276" w:lineRule="auto"/>
              <w:contextualSpacing/>
              <w:jc w:val="both"/>
              <w:rPr>
                <w:rFonts w:hint="eastAsia" w:asciiTheme="minorEastAsia" w:hAnsiTheme="minorEastAsia" w:eastAsiaTheme="minorEastAsia" w:cstheme="minorEastAsia"/>
                <w:bCs/>
                <w:color w:val="auto"/>
                <w:szCs w:val="21"/>
                <w:highlight w:val="none"/>
              </w:rPr>
            </w:pPr>
          </w:p>
        </w:tc>
      </w:tr>
      <w:tr w14:paraId="7104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5A960B45">
            <w:pPr>
              <w:numPr>
                <w:ilvl w:val="0"/>
                <w:numId w:val="2"/>
              </w:numPr>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3D085CAC">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重大违法违规记录</w:t>
            </w:r>
          </w:p>
        </w:tc>
        <w:tc>
          <w:tcPr>
            <w:tcW w:w="2693" w:type="dxa"/>
            <w:tcBorders>
              <w:top w:val="single" w:color="auto" w:sz="4" w:space="0"/>
              <w:left w:val="single" w:color="auto" w:sz="4" w:space="0"/>
              <w:bottom w:val="single" w:color="auto" w:sz="4" w:space="0"/>
              <w:right w:val="single" w:color="auto" w:sz="4" w:space="0"/>
            </w:tcBorders>
            <w:vAlign w:val="center"/>
          </w:tcPr>
          <w:p w14:paraId="29340220">
            <w:pPr>
              <w:adjustRightInd w:val="0"/>
              <w:spacing w:line="276" w:lineRule="auto"/>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参加本次比选活动前三年内，在经营活动中没有重大违法违规记录</w:t>
            </w:r>
          </w:p>
        </w:tc>
        <w:tc>
          <w:tcPr>
            <w:tcW w:w="3686" w:type="dxa"/>
            <w:vMerge w:val="continue"/>
            <w:tcBorders>
              <w:left w:val="single" w:color="auto" w:sz="4" w:space="0"/>
              <w:right w:val="single" w:color="auto" w:sz="4" w:space="0"/>
            </w:tcBorders>
            <w:vAlign w:val="center"/>
          </w:tcPr>
          <w:p w14:paraId="378D29F1">
            <w:pPr>
              <w:adjustRightInd w:val="0"/>
              <w:spacing w:line="276" w:lineRule="auto"/>
              <w:contextualSpacing/>
              <w:jc w:val="both"/>
              <w:rPr>
                <w:rFonts w:hint="eastAsia" w:asciiTheme="minorEastAsia" w:hAnsiTheme="minorEastAsia" w:eastAsiaTheme="minorEastAsia" w:cstheme="minorEastAsia"/>
                <w:bCs/>
                <w:color w:val="auto"/>
                <w:szCs w:val="21"/>
                <w:highlight w:val="none"/>
              </w:rPr>
            </w:pPr>
          </w:p>
        </w:tc>
      </w:tr>
      <w:tr w14:paraId="4258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0096E4B1">
            <w:pPr>
              <w:numPr>
                <w:ilvl w:val="0"/>
                <w:numId w:val="2"/>
              </w:numPr>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4B13F087">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法律、行政法规规定的其他条件 </w:t>
            </w:r>
          </w:p>
        </w:tc>
        <w:tc>
          <w:tcPr>
            <w:tcW w:w="2693" w:type="dxa"/>
            <w:tcBorders>
              <w:top w:val="single" w:color="auto" w:sz="4" w:space="0"/>
              <w:left w:val="single" w:color="auto" w:sz="4" w:space="0"/>
              <w:bottom w:val="single" w:color="auto" w:sz="4" w:space="0"/>
              <w:right w:val="single" w:color="auto" w:sz="4" w:space="0"/>
            </w:tcBorders>
            <w:vAlign w:val="center"/>
          </w:tcPr>
          <w:p w14:paraId="15B402EC">
            <w:pPr>
              <w:adjustRightInd w:val="0"/>
              <w:spacing w:line="276" w:lineRule="auto"/>
              <w:contextualSpacing/>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Cs w:val="21"/>
                <w:highlight w:val="none"/>
              </w:rPr>
              <w:t>法律、行政法规规定的其他条件</w:t>
            </w:r>
          </w:p>
        </w:tc>
        <w:tc>
          <w:tcPr>
            <w:tcW w:w="3686" w:type="dxa"/>
            <w:vMerge w:val="continue"/>
            <w:tcBorders>
              <w:left w:val="single" w:color="auto" w:sz="4" w:space="0"/>
              <w:right w:val="single" w:color="auto" w:sz="4" w:space="0"/>
            </w:tcBorders>
            <w:vAlign w:val="center"/>
          </w:tcPr>
          <w:p w14:paraId="490EE083">
            <w:pPr>
              <w:adjustRightInd w:val="0"/>
              <w:spacing w:line="276" w:lineRule="auto"/>
              <w:contextualSpacing/>
              <w:jc w:val="both"/>
              <w:rPr>
                <w:rFonts w:hint="eastAsia" w:asciiTheme="minorEastAsia" w:hAnsiTheme="minorEastAsia" w:eastAsiaTheme="minorEastAsia" w:cstheme="minorEastAsia"/>
                <w:bCs/>
                <w:color w:val="auto"/>
                <w:szCs w:val="21"/>
                <w:highlight w:val="none"/>
              </w:rPr>
            </w:pPr>
          </w:p>
        </w:tc>
      </w:tr>
      <w:tr w14:paraId="10BB4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20C4E37C">
            <w:pPr>
              <w:numPr>
                <w:ilvl w:val="0"/>
                <w:numId w:val="2"/>
              </w:numPr>
              <w:spacing w:line="276" w:lineRule="auto"/>
              <w:ind w:left="704" w:leftChars="0" w:hanging="420" w:firstLineChars="0"/>
              <w:contextualSpacing/>
              <w:jc w:val="center"/>
              <w:rPr>
                <w:rFonts w:hint="eastAsia" w:asciiTheme="minorEastAsia" w:hAnsiTheme="minorEastAsia" w:eastAsiaTheme="minorEastAsia" w:cstheme="minorEastAsia"/>
                <w:bCs/>
                <w:color w:val="auto"/>
                <w:kern w:val="2"/>
                <w:sz w:val="21"/>
                <w:szCs w:val="21"/>
                <w:highlight w:val="none"/>
                <w:lang w:val="en-US" w:eastAsia="zh-CN" w:bidi="ar-SA"/>
              </w:rPr>
            </w:pPr>
          </w:p>
        </w:tc>
        <w:tc>
          <w:tcPr>
            <w:tcW w:w="2238" w:type="dxa"/>
            <w:tcBorders>
              <w:top w:val="single" w:color="auto" w:sz="4" w:space="0"/>
              <w:left w:val="single" w:color="auto" w:sz="4" w:space="0"/>
              <w:bottom w:val="single" w:color="auto" w:sz="4" w:space="0"/>
              <w:right w:val="single" w:color="auto" w:sz="4" w:space="0"/>
            </w:tcBorders>
            <w:vAlign w:val="center"/>
          </w:tcPr>
          <w:p w14:paraId="36F94CAD">
            <w:pPr>
              <w:adjustRightInd w:val="0"/>
              <w:spacing w:line="276" w:lineRule="auto"/>
              <w:contextualSpacing/>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比选人根据采购项目提出的特殊条件</w:t>
            </w:r>
          </w:p>
          <w:p w14:paraId="6BDB58B9">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lang w:val="en-US" w:eastAsia="zh-CN"/>
              </w:rPr>
              <w:br w:type="textWrapping"/>
            </w:r>
          </w:p>
        </w:tc>
        <w:tc>
          <w:tcPr>
            <w:tcW w:w="2693" w:type="dxa"/>
            <w:tcBorders>
              <w:top w:val="single" w:color="auto" w:sz="4" w:space="0"/>
              <w:left w:val="single" w:color="auto" w:sz="4" w:space="0"/>
              <w:bottom w:val="single" w:color="auto" w:sz="4" w:space="0"/>
              <w:right w:val="single" w:color="auto" w:sz="4" w:space="0"/>
            </w:tcBorders>
            <w:vAlign w:val="center"/>
          </w:tcPr>
          <w:p w14:paraId="08B7B5BC">
            <w:pPr>
              <w:adjustRightInd w:val="0"/>
              <w:spacing w:line="276" w:lineRule="auto"/>
              <w:contextualSpacing/>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参选人为农药生产厂家的须具有有效的《农药生产许可证》；参选人为非农药生产厂家的须需具有有效的《危险化学品经营许可证》或有效的《农药经营许可证》</w:t>
            </w:r>
          </w:p>
        </w:tc>
        <w:tc>
          <w:tcPr>
            <w:tcW w:w="3686" w:type="dxa"/>
            <w:tcBorders>
              <w:left w:val="single" w:color="auto" w:sz="4" w:space="0"/>
              <w:right w:val="single" w:color="auto" w:sz="4" w:space="0"/>
            </w:tcBorders>
            <w:vAlign w:val="center"/>
          </w:tcPr>
          <w:p w14:paraId="392EBC07">
            <w:pPr>
              <w:adjustRightInd w:val="0"/>
              <w:spacing w:line="276" w:lineRule="auto"/>
              <w:contextualSpacing/>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参选人为农药生产厂家的须提供有效的《农药生产许可证》；参选人为非农药生产厂家的须提供需具有有效的《危险化学品经营许可证》或提供有效的《农药经营许可证》</w:t>
            </w:r>
          </w:p>
        </w:tc>
      </w:tr>
      <w:tr w14:paraId="0B96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14:paraId="551D9B13">
            <w:pPr>
              <w:numPr>
                <w:ilvl w:val="0"/>
                <w:numId w:val="2"/>
              </w:numPr>
              <w:spacing w:line="276" w:lineRule="auto"/>
              <w:ind w:left="704" w:leftChars="0" w:hanging="420" w:firstLineChars="0"/>
              <w:contextualSpacing/>
              <w:jc w:val="center"/>
              <w:rPr>
                <w:rFonts w:hint="eastAsia" w:asciiTheme="minorEastAsia" w:hAnsiTheme="minorEastAsia" w:eastAsiaTheme="minorEastAsia" w:cstheme="minorEastAsia"/>
                <w:bCs/>
                <w:color w:val="auto"/>
                <w:kern w:val="2"/>
                <w:sz w:val="21"/>
                <w:szCs w:val="21"/>
                <w:highlight w:val="none"/>
                <w:lang w:val="en-US" w:eastAsia="zh-CN" w:bidi="ar-SA"/>
              </w:rPr>
            </w:pPr>
          </w:p>
        </w:tc>
        <w:tc>
          <w:tcPr>
            <w:tcW w:w="2238" w:type="dxa"/>
            <w:tcBorders>
              <w:top w:val="single" w:color="auto" w:sz="4" w:space="0"/>
              <w:left w:val="single" w:color="auto" w:sz="4" w:space="0"/>
              <w:bottom w:val="single" w:color="auto" w:sz="4" w:space="0"/>
              <w:right w:val="single" w:color="auto" w:sz="4" w:space="0"/>
            </w:tcBorders>
            <w:vAlign w:val="center"/>
          </w:tcPr>
          <w:p w14:paraId="1856F9F1">
            <w:pPr>
              <w:adjustRightInd w:val="0"/>
              <w:spacing w:line="276" w:lineRule="auto"/>
              <w:contextualSpacing/>
              <w:jc w:val="cente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禁止参加本次采购活动的参选人</w:t>
            </w:r>
          </w:p>
        </w:tc>
        <w:tc>
          <w:tcPr>
            <w:tcW w:w="2693" w:type="dxa"/>
            <w:tcBorders>
              <w:top w:val="single" w:color="auto" w:sz="4" w:space="0"/>
              <w:left w:val="single" w:color="auto" w:sz="4" w:space="0"/>
              <w:bottom w:val="single" w:color="auto" w:sz="4" w:space="0"/>
              <w:right w:val="single" w:color="auto" w:sz="4" w:space="0"/>
            </w:tcBorders>
            <w:vAlign w:val="center"/>
          </w:tcPr>
          <w:p w14:paraId="58F0FC9D">
            <w:pPr>
              <w:adjustRightInd w:val="0"/>
              <w:spacing w:line="276" w:lineRule="auto"/>
              <w:contextualSpacing/>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参选人不得为“信用中国”网站(www.creditchina.gov.cn)中列入失信被执行人和重大税收违法失信主体的</w:t>
            </w:r>
            <w:r>
              <w:rPr>
                <w:rFonts w:hint="eastAsia" w:asciiTheme="minorEastAsia" w:hAnsiTheme="minorEastAsia" w:cstheme="minorEastAsia"/>
                <w:bCs/>
                <w:color w:val="auto"/>
                <w:szCs w:val="21"/>
                <w:highlight w:val="none"/>
                <w:lang w:val="en-US" w:eastAsia="zh-CN"/>
              </w:rPr>
              <w:t>参选人</w:t>
            </w:r>
            <w:r>
              <w:rPr>
                <w:rFonts w:hint="eastAsia" w:asciiTheme="minorEastAsia" w:hAnsiTheme="minorEastAsia" w:eastAsiaTheme="minorEastAsia" w:cstheme="minorEastAsia"/>
                <w:bCs/>
                <w:color w:val="auto"/>
                <w:szCs w:val="21"/>
                <w:highlight w:val="none"/>
                <w:lang w:val="en-US" w:eastAsia="zh-CN"/>
              </w:rPr>
              <w:t>，不得为中国政府采购网(www.ccgp.gov.cn)政府采购严重违法失信行为记录名单中被财政部门禁止参加政府采购活动的</w:t>
            </w:r>
            <w:r>
              <w:rPr>
                <w:rFonts w:hint="eastAsia" w:asciiTheme="minorEastAsia" w:hAnsiTheme="minorEastAsia" w:cstheme="minorEastAsia"/>
                <w:bCs/>
                <w:color w:val="auto"/>
                <w:szCs w:val="21"/>
                <w:highlight w:val="none"/>
                <w:lang w:val="en-US" w:eastAsia="zh-CN"/>
              </w:rPr>
              <w:t>参选人</w:t>
            </w:r>
            <w:r>
              <w:rPr>
                <w:rFonts w:hint="eastAsia" w:asciiTheme="minorEastAsia" w:hAnsiTheme="minorEastAsia" w:eastAsiaTheme="minorEastAsia" w:cstheme="minorEastAsia"/>
                <w:bCs/>
                <w:color w:val="auto"/>
                <w:szCs w:val="21"/>
                <w:highlight w:val="none"/>
                <w:lang w:val="en-US" w:eastAsia="zh-CN"/>
              </w:rPr>
              <w:t>(处罚决定规定的时间和地域范围内)</w:t>
            </w:r>
          </w:p>
        </w:tc>
        <w:tc>
          <w:tcPr>
            <w:tcW w:w="3686" w:type="dxa"/>
            <w:tcBorders>
              <w:left w:val="single" w:color="auto" w:sz="4" w:space="0"/>
              <w:right w:val="single" w:color="auto" w:sz="4" w:space="0"/>
            </w:tcBorders>
            <w:vAlign w:val="center"/>
          </w:tcPr>
          <w:p w14:paraId="0B396280">
            <w:pPr>
              <w:adjustRightInd w:val="0"/>
              <w:spacing w:line="276" w:lineRule="auto"/>
              <w:contextualSpacing/>
              <w:jc w:val="left"/>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参选人在“信用中国”网站（www.creditchina.gov.cn）、中国政府采购网(www.ccgp.gov.cn)查询并打印相应信用记录。（上述网站获取的信息查询结果原始页面的打印件或截图），非企业参与时由参选人在报价文件中自行提供承诺函，格式自拟</w:t>
            </w:r>
          </w:p>
        </w:tc>
      </w:tr>
      <w:tr w14:paraId="1BF99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34" w:type="dxa"/>
            <w:tcBorders>
              <w:top w:val="single" w:color="auto" w:sz="4" w:space="0"/>
              <w:left w:val="single" w:color="auto" w:sz="4" w:space="0"/>
              <w:bottom w:val="single" w:color="auto" w:sz="4" w:space="0"/>
              <w:right w:val="single" w:color="auto" w:sz="4" w:space="0"/>
            </w:tcBorders>
            <w:vAlign w:val="center"/>
          </w:tcPr>
          <w:p w14:paraId="64683FD1">
            <w:pPr>
              <w:numPr>
                <w:ilvl w:val="0"/>
                <w:numId w:val="2"/>
              </w:numPr>
              <w:spacing w:line="276" w:lineRule="auto"/>
              <w:ind w:left="704" w:leftChars="0" w:hanging="420" w:firstLineChars="0"/>
              <w:contextualSpacing/>
              <w:jc w:val="center"/>
              <w:rPr>
                <w:rFonts w:hint="eastAsia" w:asciiTheme="minorEastAsia" w:hAnsiTheme="minorEastAsia" w:eastAsiaTheme="minorEastAsia" w:cstheme="minorEastAsia"/>
                <w:bCs/>
                <w:color w:val="auto"/>
                <w:szCs w:val="21"/>
                <w:highlight w:val="none"/>
              </w:rPr>
            </w:pPr>
          </w:p>
        </w:tc>
        <w:tc>
          <w:tcPr>
            <w:tcW w:w="2238" w:type="dxa"/>
            <w:tcBorders>
              <w:top w:val="single" w:color="auto" w:sz="4" w:space="0"/>
              <w:left w:val="single" w:color="auto" w:sz="4" w:space="0"/>
              <w:bottom w:val="single" w:color="auto" w:sz="4" w:space="0"/>
              <w:right w:val="single" w:color="auto" w:sz="4" w:space="0"/>
            </w:tcBorders>
            <w:vAlign w:val="center"/>
          </w:tcPr>
          <w:p w14:paraId="7294E4F8">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以上条件必须全部通过。</w:t>
            </w:r>
          </w:p>
        </w:tc>
        <w:tc>
          <w:tcPr>
            <w:tcW w:w="2693" w:type="dxa"/>
            <w:tcBorders>
              <w:top w:val="single" w:color="auto" w:sz="4" w:space="0"/>
              <w:left w:val="single" w:color="auto" w:sz="4" w:space="0"/>
              <w:bottom w:val="single" w:color="auto" w:sz="4" w:space="0"/>
              <w:right w:val="single" w:color="auto" w:sz="4" w:space="0"/>
            </w:tcBorders>
            <w:vAlign w:val="center"/>
          </w:tcPr>
          <w:p w14:paraId="591F54F4">
            <w:pPr>
              <w:adjustRightInd w:val="0"/>
              <w:spacing w:line="276" w:lineRule="auto"/>
              <w:contextualSpacing/>
              <w:jc w:val="center"/>
              <w:rPr>
                <w:rFonts w:hint="eastAsia" w:asciiTheme="minorEastAsia" w:hAnsiTheme="minorEastAsia" w:eastAsiaTheme="minorEastAsia" w:cstheme="minorEastAsia"/>
                <w:bCs/>
                <w:color w:val="auto"/>
                <w:szCs w:val="21"/>
                <w:highlight w:val="none"/>
              </w:rPr>
            </w:pPr>
          </w:p>
        </w:tc>
        <w:tc>
          <w:tcPr>
            <w:tcW w:w="3686" w:type="dxa"/>
            <w:tcBorders>
              <w:left w:val="single" w:color="auto" w:sz="4" w:space="0"/>
              <w:right w:val="single" w:color="auto" w:sz="4" w:space="0"/>
            </w:tcBorders>
            <w:vAlign w:val="center"/>
          </w:tcPr>
          <w:p w14:paraId="18ADAC15">
            <w:pPr>
              <w:adjustRightInd w:val="0"/>
              <w:spacing w:line="276" w:lineRule="auto"/>
              <w:ind w:firstLine="472" w:firstLineChars="225"/>
              <w:contextualSpacing/>
              <w:jc w:val="center"/>
              <w:rPr>
                <w:rFonts w:hint="eastAsia" w:asciiTheme="minorEastAsia" w:hAnsiTheme="minorEastAsia" w:eastAsiaTheme="minorEastAsia" w:cstheme="minorEastAsia"/>
                <w:bCs/>
                <w:color w:val="auto"/>
                <w:szCs w:val="21"/>
                <w:highlight w:val="none"/>
                <w:lang w:val="en-US" w:eastAsia="zh-CN"/>
              </w:rPr>
            </w:pPr>
          </w:p>
        </w:tc>
      </w:tr>
    </w:tbl>
    <w:p w14:paraId="5939FDB6">
      <w:pPr>
        <w:spacing w:line="360" w:lineRule="auto"/>
        <w:contextualSpacing/>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四、符合性评审</w:t>
      </w:r>
    </w:p>
    <w:p w14:paraId="052F288C">
      <w:pPr>
        <w:adjustRightInd w:val="0"/>
        <w:spacing w:line="360" w:lineRule="auto"/>
        <w:ind w:firstLine="411" w:firstLineChars="196"/>
        <w:contextualSpacing/>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4.1 符合性评审主要为</w:t>
      </w:r>
      <w:r>
        <w:rPr>
          <w:rFonts w:hint="eastAsia" w:asciiTheme="minorEastAsia" w:hAnsiTheme="minorEastAsia" w:cstheme="minorEastAsia"/>
          <w:bCs/>
          <w:color w:val="auto"/>
          <w:szCs w:val="21"/>
          <w:highlight w:val="none"/>
          <w:lang w:eastAsia="zh-CN"/>
        </w:rPr>
        <w:t>评审小组</w:t>
      </w:r>
      <w:r>
        <w:rPr>
          <w:rFonts w:hint="eastAsia" w:asciiTheme="minorEastAsia" w:hAnsiTheme="minorEastAsia" w:eastAsiaTheme="minorEastAsia" w:cstheme="minorEastAsia"/>
          <w:bCs/>
          <w:color w:val="auto"/>
          <w:szCs w:val="21"/>
          <w:highlight w:val="none"/>
        </w:rPr>
        <w:t>对各</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bCs/>
          <w:color w:val="auto"/>
          <w:szCs w:val="21"/>
          <w:highlight w:val="none"/>
        </w:rPr>
        <w:t>是否在实质上响应了要求进行评审。</w:t>
      </w:r>
    </w:p>
    <w:p w14:paraId="62D3D6B9">
      <w:pPr>
        <w:adjustRightInd w:val="0"/>
        <w:spacing w:line="360" w:lineRule="auto"/>
        <w:ind w:firstLine="411" w:firstLineChars="196"/>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 若</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有下表中所列任何一种情况的，则视为未能在实质上响应，属重大偏差，将不进入详细评审。</w:t>
      </w:r>
    </w:p>
    <w:p w14:paraId="59A37F39">
      <w:pPr>
        <w:adjustRightInd w:val="0"/>
        <w:spacing w:line="360" w:lineRule="auto"/>
        <w:contextualSpacing/>
        <w:jc w:val="center"/>
        <w:rPr>
          <w:rFonts w:hint="eastAsia" w:asciiTheme="minorEastAsia" w:hAnsiTheme="minorEastAsia" w:eastAsiaTheme="minorEastAsia" w:cstheme="minorEastAsia"/>
          <w:b/>
          <w:bCs/>
          <w:color w:val="auto"/>
          <w:szCs w:val="21"/>
          <w:highlight w:val="none"/>
        </w:rPr>
      </w:pPr>
    </w:p>
    <w:p w14:paraId="7778B5DA">
      <w:pPr>
        <w:adjustRightInd w:val="0"/>
        <w:spacing w:line="360" w:lineRule="auto"/>
        <w:contextualSpacing/>
        <w:jc w:val="center"/>
        <w:rPr>
          <w:rFonts w:hint="eastAsia" w:asciiTheme="minorEastAsia" w:hAnsiTheme="minorEastAsia" w:eastAsiaTheme="minorEastAsia" w:cstheme="minorEastAsia"/>
          <w:b/>
          <w:bCs/>
          <w:color w:val="auto"/>
          <w:szCs w:val="21"/>
          <w:highlight w:val="none"/>
        </w:rPr>
      </w:pPr>
      <w:r>
        <w:rPr>
          <w:rFonts w:hint="eastAsia" w:asciiTheme="minorEastAsia" w:hAnsiTheme="minorEastAsia" w:cstheme="minorEastAsia"/>
          <w:b/>
          <w:bCs/>
          <w:color w:val="auto"/>
          <w:szCs w:val="21"/>
          <w:highlight w:val="none"/>
          <w:lang w:eastAsia="zh-CN"/>
        </w:rPr>
        <w:t>报价文件</w:t>
      </w:r>
      <w:r>
        <w:rPr>
          <w:rFonts w:hint="eastAsia" w:asciiTheme="minorEastAsia" w:hAnsiTheme="minorEastAsia" w:eastAsiaTheme="minorEastAsia" w:cstheme="minorEastAsia"/>
          <w:b/>
          <w:bCs/>
          <w:color w:val="auto"/>
          <w:szCs w:val="21"/>
          <w:highlight w:val="none"/>
        </w:rPr>
        <w:t>符合性评审表</w:t>
      </w:r>
    </w:p>
    <w:tbl>
      <w:tblPr>
        <w:tblStyle w:val="9"/>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6524"/>
        <w:gridCol w:w="1966"/>
      </w:tblGrid>
      <w:tr w14:paraId="4DEE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19" w:type="dxa"/>
            <w:vAlign w:val="center"/>
          </w:tcPr>
          <w:p w14:paraId="0095F18F">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序号</w:t>
            </w:r>
          </w:p>
        </w:tc>
        <w:tc>
          <w:tcPr>
            <w:tcW w:w="6524" w:type="dxa"/>
            <w:vAlign w:val="center"/>
          </w:tcPr>
          <w:p w14:paraId="466246E7">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重大偏差情况</w:t>
            </w:r>
          </w:p>
        </w:tc>
        <w:tc>
          <w:tcPr>
            <w:tcW w:w="1966" w:type="dxa"/>
            <w:vAlign w:val="center"/>
          </w:tcPr>
          <w:p w14:paraId="2B1F76E4">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是否存在重大偏差（填写“是”或“否”）</w:t>
            </w:r>
          </w:p>
        </w:tc>
      </w:tr>
      <w:tr w14:paraId="7353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19" w:type="dxa"/>
            <w:vAlign w:val="center"/>
          </w:tcPr>
          <w:p w14:paraId="60325DCD">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6524" w:type="dxa"/>
            <w:vAlign w:val="center"/>
          </w:tcPr>
          <w:p w14:paraId="100344C9">
            <w:pPr>
              <w:spacing w:line="360" w:lineRule="auto"/>
              <w:ind w:left="42" w:hanging="42" w:hangingChars="20"/>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签字或盖章不符合要求</w:t>
            </w:r>
          </w:p>
        </w:tc>
        <w:tc>
          <w:tcPr>
            <w:tcW w:w="1966" w:type="dxa"/>
            <w:vAlign w:val="center"/>
          </w:tcPr>
          <w:p w14:paraId="705F4633">
            <w:pPr>
              <w:spacing w:line="360" w:lineRule="auto"/>
              <w:rPr>
                <w:rFonts w:hint="eastAsia" w:asciiTheme="minorEastAsia" w:hAnsiTheme="minorEastAsia" w:eastAsiaTheme="minorEastAsia" w:cstheme="minorEastAsia"/>
                <w:color w:val="auto"/>
                <w:szCs w:val="21"/>
                <w:highlight w:val="none"/>
              </w:rPr>
            </w:pPr>
          </w:p>
        </w:tc>
      </w:tr>
      <w:tr w14:paraId="4D7A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9" w:type="dxa"/>
            <w:vAlign w:val="center"/>
          </w:tcPr>
          <w:p w14:paraId="6DDACB18">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6524" w:type="dxa"/>
            <w:vAlign w:val="center"/>
          </w:tcPr>
          <w:p w14:paraId="3C19D5C6">
            <w:pPr>
              <w:spacing w:line="360" w:lineRule="auto"/>
              <w:ind w:left="42" w:hanging="42" w:hangingChars="20"/>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内容不全或关键字迹是否模糊、无法辨认</w:t>
            </w:r>
          </w:p>
        </w:tc>
        <w:tc>
          <w:tcPr>
            <w:tcW w:w="1966" w:type="dxa"/>
            <w:vAlign w:val="center"/>
          </w:tcPr>
          <w:p w14:paraId="5703092B">
            <w:pPr>
              <w:spacing w:line="360" w:lineRule="auto"/>
              <w:jc w:val="left"/>
              <w:rPr>
                <w:rFonts w:hint="eastAsia" w:asciiTheme="minorEastAsia" w:hAnsiTheme="minorEastAsia" w:eastAsiaTheme="minorEastAsia" w:cstheme="minorEastAsia"/>
                <w:color w:val="auto"/>
                <w:szCs w:val="21"/>
                <w:highlight w:val="none"/>
              </w:rPr>
            </w:pPr>
          </w:p>
        </w:tc>
      </w:tr>
      <w:tr w14:paraId="0B0A9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9" w:type="dxa"/>
            <w:vAlign w:val="center"/>
          </w:tcPr>
          <w:p w14:paraId="364C0997">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p>
        </w:tc>
        <w:tc>
          <w:tcPr>
            <w:tcW w:w="6524" w:type="dxa"/>
            <w:vAlign w:val="center"/>
          </w:tcPr>
          <w:p w14:paraId="1C80EE01">
            <w:pPr>
              <w:spacing w:line="360" w:lineRule="auto"/>
              <w:ind w:left="42" w:hanging="42" w:hangingChars="2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内容不满足</w:t>
            </w:r>
            <w:r>
              <w:rPr>
                <w:rFonts w:hint="eastAsia" w:asciiTheme="minorEastAsia" w:hAnsiTheme="minorEastAsia" w:cstheme="minorEastAsia"/>
                <w:color w:val="auto"/>
                <w:szCs w:val="21"/>
                <w:highlight w:val="none"/>
                <w:lang w:val="en-US" w:eastAsia="zh-CN"/>
              </w:rPr>
              <w:t>项目实质性要求</w:t>
            </w:r>
          </w:p>
        </w:tc>
        <w:tc>
          <w:tcPr>
            <w:tcW w:w="1966" w:type="dxa"/>
            <w:vAlign w:val="center"/>
          </w:tcPr>
          <w:p w14:paraId="396D21C0">
            <w:pPr>
              <w:spacing w:line="360" w:lineRule="auto"/>
              <w:jc w:val="left"/>
              <w:rPr>
                <w:rFonts w:hint="eastAsia" w:asciiTheme="minorEastAsia" w:hAnsiTheme="minorEastAsia" w:eastAsiaTheme="minorEastAsia" w:cstheme="minorEastAsia"/>
                <w:color w:val="auto"/>
                <w:szCs w:val="21"/>
                <w:highlight w:val="none"/>
              </w:rPr>
            </w:pPr>
          </w:p>
        </w:tc>
      </w:tr>
      <w:tr w14:paraId="47CC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9" w:type="dxa"/>
            <w:vAlign w:val="center"/>
          </w:tcPr>
          <w:p w14:paraId="49B73B1C">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w:t>
            </w:r>
          </w:p>
        </w:tc>
        <w:tc>
          <w:tcPr>
            <w:tcW w:w="6524" w:type="dxa"/>
            <w:vAlign w:val="center"/>
          </w:tcPr>
          <w:p w14:paraId="5A9A2EAC">
            <w:pPr>
              <w:spacing w:line="360" w:lineRule="auto"/>
              <w:ind w:left="42" w:hanging="42" w:hangingChars="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报价高于最高限价,其</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按无效处理</w:t>
            </w:r>
          </w:p>
        </w:tc>
        <w:tc>
          <w:tcPr>
            <w:tcW w:w="1966" w:type="dxa"/>
            <w:vAlign w:val="center"/>
          </w:tcPr>
          <w:p w14:paraId="6AEC0BEE">
            <w:pPr>
              <w:spacing w:line="360" w:lineRule="auto"/>
              <w:jc w:val="left"/>
              <w:rPr>
                <w:rFonts w:hint="eastAsia" w:asciiTheme="minorEastAsia" w:hAnsiTheme="minorEastAsia" w:eastAsiaTheme="minorEastAsia" w:cstheme="minorEastAsia"/>
                <w:color w:val="auto"/>
                <w:szCs w:val="21"/>
                <w:highlight w:val="none"/>
              </w:rPr>
            </w:pPr>
          </w:p>
        </w:tc>
      </w:tr>
      <w:tr w14:paraId="27E6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19" w:type="dxa"/>
            <w:vAlign w:val="center"/>
          </w:tcPr>
          <w:p w14:paraId="4A925F55">
            <w:pPr>
              <w:spacing w:line="360" w:lineRule="auto"/>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p>
        </w:tc>
        <w:tc>
          <w:tcPr>
            <w:tcW w:w="6524" w:type="dxa"/>
            <w:vAlign w:val="center"/>
          </w:tcPr>
          <w:p w14:paraId="11CFF320">
            <w:pPr>
              <w:spacing w:line="360" w:lineRule="auto"/>
              <w:ind w:left="42" w:hanging="42" w:hangingChars="20"/>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附有比选人不能接受的条件</w:t>
            </w:r>
          </w:p>
        </w:tc>
        <w:tc>
          <w:tcPr>
            <w:tcW w:w="1966" w:type="dxa"/>
            <w:vAlign w:val="center"/>
          </w:tcPr>
          <w:p w14:paraId="4EB2960D">
            <w:pPr>
              <w:spacing w:line="360" w:lineRule="auto"/>
              <w:rPr>
                <w:rFonts w:hint="eastAsia" w:asciiTheme="minorEastAsia" w:hAnsiTheme="minorEastAsia" w:eastAsiaTheme="minorEastAsia" w:cstheme="minorEastAsia"/>
                <w:color w:val="auto"/>
                <w:szCs w:val="21"/>
                <w:highlight w:val="none"/>
              </w:rPr>
            </w:pPr>
          </w:p>
        </w:tc>
      </w:tr>
      <w:tr w14:paraId="56D4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43" w:type="dxa"/>
            <w:gridSpan w:val="2"/>
            <w:vAlign w:val="center"/>
          </w:tcPr>
          <w:p w14:paraId="01688DB8">
            <w:pPr>
              <w:spacing w:line="360" w:lineRule="auto"/>
              <w:ind w:firstLine="120"/>
              <w:jc w:val="center"/>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结论（应填写“通过”或“不通过”）</w:t>
            </w:r>
          </w:p>
        </w:tc>
        <w:tc>
          <w:tcPr>
            <w:tcW w:w="1966" w:type="dxa"/>
            <w:vAlign w:val="center"/>
          </w:tcPr>
          <w:p w14:paraId="126F7CD9">
            <w:pPr>
              <w:spacing w:line="360" w:lineRule="auto"/>
              <w:rPr>
                <w:rFonts w:hint="eastAsia" w:asciiTheme="minorEastAsia" w:hAnsiTheme="minorEastAsia" w:eastAsiaTheme="minorEastAsia" w:cstheme="minorEastAsia"/>
                <w:color w:val="auto"/>
                <w:szCs w:val="21"/>
                <w:highlight w:val="none"/>
              </w:rPr>
            </w:pPr>
          </w:p>
        </w:tc>
      </w:tr>
    </w:tbl>
    <w:p w14:paraId="60E167F1">
      <w:pPr>
        <w:adjustRightInd w:val="0"/>
        <w:spacing w:line="360" w:lineRule="auto"/>
        <w:ind w:firstLine="411" w:firstLineChars="196"/>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4.3上述重大偏差之外的偏差为细微偏差。评审</w:t>
      </w:r>
      <w:r>
        <w:rPr>
          <w:rFonts w:hint="eastAsia" w:asciiTheme="minorEastAsia" w:hAnsiTheme="minorEastAsia" w:cstheme="minorEastAsia"/>
          <w:color w:val="auto"/>
          <w:szCs w:val="21"/>
          <w:highlight w:val="none"/>
          <w:lang w:val="en-US" w:eastAsia="zh-CN"/>
        </w:rPr>
        <w:t>小组</w:t>
      </w:r>
      <w:r>
        <w:rPr>
          <w:rFonts w:hint="eastAsia" w:asciiTheme="minorEastAsia" w:hAnsiTheme="minorEastAsia" w:eastAsiaTheme="minorEastAsia" w:cstheme="minorEastAsia"/>
          <w:color w:val="auto"/>
          <w:szCs w:val="21"/>
          <w:highlight w:val="none"/>
        </w:rPr>
        <w:t>应当书面要求存在细微偏差的</w:t>
      </w:r>
      <w:r>
        <w:rPr>
          <w:rFonts w:hint="eastAsia" w:asciiTheme="minorEastAsia" w:hAnsiTheme="minorEastAsia" w:eastAsiaTheme="minorEastAsia" w:cstheme="minorEastAsia"/>
          <w:color w:val="auto"/>
          <w:szCs w:val="21"/>
          <w:highlight w:val="none"/>
          <w:lang w:eastAsia="zh-CN"/>
        </w:rPr>
        <w:t>参选人</w:t>
      </w:r>
      <w:r>
        <w:rPr>
          <w:rFonts w:hint="eastAsia" w:asciiTheme="minorEastAsia" w:hAnsiTheme="minorEastAsia" w:eastAsiaTheme="minorEastAsia" w:cstheme="minorEastAsia"/>
          <w:color w:val="auto"/>
          <w:szCs w:val="21"/>
          <w:highlight w:val="none"/>
        </w:rPr>
        <w:t>在详细评审前予以补正。拒不补正的，在量化评分评审时可以对细微偏差作不利于</w:t>
      </w:r>
      <w:r>
        <w:rPr>
          <w:rFonts w:hint="eastAsia" w:asciiTheme="minorEastAsia" w:hAnsiTheme="minorEastAsia" w:eastAsiaTheme="minorEastAsia" w:cstheme="minorEastAsia"/>
          <w:color w:val="auto"/>
          <w:szCs w:val="21"/>
          <w:highlight w:val="none"/>
          <w:lang w:eastAsia="zh-CN"/>
        </w:rPr>
        <w:t>参选人</w:t>
      </w:r>
      <w:r>
        <w:rPr>
          <w:rFonts w:hint="eastAsia" w:asciiTheme="minorEastAsia" w:hAnsiTheme="minorEastAsia" w:eastAsiaTheme="minorEastAsia" w:cstheme="minorEastAsia"/>
          <w:color w:val="auto"/>
          <w:szCs w:val="21"/>
          <w:highlight w:val="none"/>
        </w:rPr>
        <w:t>的处理。有关澄清说明与答复，</w:t>
      </w:r>
      <w:r>
        <w:rPr>
          <w:rFonts w:hint="eastAsia" w:asciiTheme="minorEastAsia" w:hAnsiTheme="minorEastAsia" w:eastAsiaTheme="minorEastAsia" w:cstheme="minorEastAsia"/>
          <w:color w:val="auto"/>
          <w:szCs w:val="21"/>
          <w:highlight w:val="none"/>
          <w:lang w:eastAsia="zh-CN"/>
        </w:rPr>
        <w:t>参选人</w:t>
      </w:r>
      <w:r>
        <w:rPr>
          <w:rFonts w:hint="eastAsia" w:asciiTheme="minorEastAsia" w:hAnsiTheme="minorEastAsia" w:eastAsiaTheme="minorEastAsia" w:cstheme="minorEastAsia"/>
          <w:color w:val="auto"/>
          <w:szCs w:val="21"/>
          <w:highlight w:val="none"/>
        </w:rPr>
        <w:t>应以书面形式进行，但对报价等实质性的内容不得更改。澄清问题作为</w:t>
      </w:r>
      <w:r>
        <w:rPr>
          <w:rFonts w:hint="eastAsia" w:asciiTheme="minorEastAsia" w:hAnsiTheme="minorEastAsia" w:cstheme="minorEastAsia"/>
          <w:color w:val="auto"/>
          <w:szCs w:val="21"/>
          <w:highlight w:val="none"/>
          <w:lang w:eastAsia="zh-CN"/>
        </w:rPr>
        <w:t>报价文件</w:t>
      </w:r>
      <w:r>
        <w:rPr>
          <w:rFonts w:hint="eastAsia" w:asciiTheme="minorEastAsia" w:hAnsiTheme="minorEastAsia" w:eastAsiaTheme="minorEastAsia" w:cstheme="minorEastAsia"/>
          <w:color w:val="auto"/>
          <w:szCs w:val="21"/>
          <w:highlight w:val="none"/>
        </w:rPr>
        <w:t>的组成部分。</w:t>
      </w:r>
    </w:p>
    <w:p w14:paraId="61C9CCC8">
      <w:pPr>
        <w:adjustRightInd w:val="0"/>
        <w:spacing w:line="360" w:lineRule="auto"/>
        <w:ind w:firstLine="411" w:firstLineChars="196"/>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4.4</w:t>
      </w: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对</w:t>
      </w:r>
      <w:r>
        <w:rPr>
          <w:rFonts w:hint="eastAsia" w:asciiTheme="minorEastAsia" w:hAnsiTheme="minorEastAsia" w:cstheme="minorEastAsia"/>
          <w:color w:val="auto"/>
          <w:szCs w:val="21"/>
          <w:highlight w:val="none"/>
          <w:lang w:val="en-US" w:eastAsia="zh-CN"/>
        </w:rPr>
        <w:t>项目内容</w:t>
      </w:r>
      <w:r>
        <w:rPr>
          <w:rFonts w:hint="eastAsia" w:asciiTheme="minorEastAsia" w:hAnsiTheme="minorEastAsia" w:eastAsiaTheme="minorEastAsia" w:cstheme="minorEastAsia"/>
          <w:color w:val="auto"/>
          <w:szCs w:val="21"/>
          <w:highlight w:val="none"/>
        </w:rPr>
        <w:t>理解有歧义的，可以要求比选人进一步澄清、说明或补正，直至满足</w:t>
      </w: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要求。</w:t>
      </w:r>
    </w:p>
    <w:p w14:paraId="74F827D0">
      <w:pPr>
        <w:spacing w:line="360" w:lineRule="auto"/>
        <w:contextualSpacing/>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五、详细评审</w:t>
      </w:r>
    </w:p>
    <w:p w14:paraId="0C8BF535">
      <w:pPr>
        <w:adjustRightInd w:val="0"/>
        <w:spacing w:line="360" w:lineRule="auto"/>
        <w:ind w:firstLine="411" w:firstLineChars="196"/>
        <w:contextualSpacing/>
        <w:rPr>
          <w:rFonts w:hint="eastAsia" w:asciiTheme="minorEastAsia" w:hAnsiTheme="minorEastAsia" w:eastAsiaTheme="minorEastAsia" w:cstheme="minorEastAsia"/>
          <w:color w:val="auto"/>
          <w:szCs w:val="21"/>
          <w:highlight w:val="none"/>
        </w:rPr>
      </w:pPr>
      <w:r>
        <w:rPr>
          <w:rFonts w:hint="eastAsia" w:asciiTheme="minorEastAsia" w:hAnsiTheme="minorEastAsia" w:cstheme="minorEastAsia"/>
          <w:color w:val="auto"/>
          <w:szCs w:val="21"/>
          <w:highlight w:val="none"/>
          <w:lang w:eastAsia="zh-CN"/>
        </w:rPr>
        <w:t>评审小组</w:t>
      </w:r>
      <w:r>
        <w:rPr>
          <w:rFonts w:hint="eastAsia" w:asciiTheme="minorEastAsia" w:hAnsiTheme="minorEastAsia" w:eastAsiaTheme="minorEastAsia" w:cstheme="minorEastAsia"/>
          <w:color w:val="auto"/>
          <w:szCs w:val="21"/>
          <w:highlight w:val="none"/>
        </w:rPr>
        <w:t>对通过资格性审查和符合性审查的合格</w:t>
      </w:r>
      <w:r>
        <w:rPr>
          <w:rFonts w:hint="eastAsia" w:asciiTheme="minorEastAsia" w:hAnsiTheme="minorEastAsia" w:eastAsiaTheme="minorEastAsia" w:cstheme="minorEastAsia"/>
          <w:color w:val="auto"/>
          <w:szCs w:val="21"/>
          <w:highlight w:val="none"/>
          <w:lang w:eastAsia="zh-CN"/>
        </w:rPr>
        <w:t>参选人</w:t>
      </w:r>
      <w:r>
        <w:rPr>
          <w:rFonts w:hint="eastAsia" w:asciiTheme="minorEastAsia" w:hAnsiTheme="minorEastAsia" w:eastAsiaTheme="minorEastAsia" w:cstheme="minorEastAsia"/>
          <w:color w:val="auto"/>
          <w:szCs w:val="21"/>
          <w:highlight w:val="none"/>
        </w:rPr>
        <w:t>进行详细评审，详细评审标准见量化评分标准、评分依据表。</w:t>
      </w:r>
    </w:p>
    <w:p w14:paraId="7713C1C9">
      <w:pPr>
        <w:adjustRightInd w:val="0"/>
        <w:spacing w:line="360" w:lineRule="auto"/>
        <w:contextualSpacing/>
        <w:rPr>
          <w:rFonts w:hint="eastAsia"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六、低于成本</w:t>
      </w:r>
      <w:r>
        <w:rPr>
          <w:rFonts w:hint="eastAsia" w:asciiTheme="minorEastAsia" w:hAnsiTheme="minorEastAsia" w:eastAsiaTheme="minorEastAsia" w:cstheme="minorEastAsia"/>
          <w:b/>
          <w:bCs/>
          <w:color w:val="auto"/>
          <w:highlight w:val="none"/>
          <w:lang w:eastAsia="zh-CN"/>
        </w:rPr>
        <w:t>报价的</w:t>
      </w:r>
      <w:r>
        <w:rPr>
          <w:rFonts w:hint="eastAsia" w:asciiTheme="minorEastAsia" w:hAnsiTheme="minorEastAsia" w:eastAsiaTheme="minorEastAsia" w:cstheme="minorEastAsia"/>
          <w:b/>
          <w:bCs/>
          <w:color w:val="auto"/>
          <w:highlight w:val="none"/>
        </w:rPr>
        <w:t>处理</w:t>
      </w:r>
    </w:p>
    <w:p w14:paraId="3745E6E3">
      <w:pPr>
        <w:spacing w:line="360" w:lineRule="auto"/>
        <w:ind w:firstLine="514" w:firstLineChars="245"/>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lang w:val="en-US" w:eastAsia="zh-CN"/>
        </w:rPr>
        <w:t>1</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报价低于全部通过</w:t>
      </w:r>
      <w:r>
        <w:rPr>
          <w:rFonts w:hint="eastAsia" w:asciiTheme="minorEastAsia" w:hAnsiTheme="minorEastAsia" w:eastAsiaTheme="minorEastAsia" w:cstheme="minorEastAsia"/>
          <w:bCs/>
          <w:szCs w:val="21"/>
          <w:highlight w:val="none"/>
          <w:lang w:eastAsia="zh-CN"/>
        </w:rPr>
        <w:t>资格性</w:t>
      </w:r>
      <w:r>
        <w:rPr>
          <w:rFonts w:hint="eastAsia" w:asciiTheme="minorEastAsia" w:hAnsiTheme="minorEastAsia" w:eastAsiaTheme="minorEastAsia" w:cstheme="minorEastAsia"/>
          <w:bCs/>
          <w:szCs w:val="21"/>
          <w:highlight w:val="none"/>
        </w:rPr>
        <w:t>审查</w:t>
      </w:r>
      <w:r>
        <w:rPr>
          <w:rFonts w:hint="eastAsia" w:asciiTheme="minorEastAsia" w:hAnsiTheme="minorEastAsia" w:eastAsiaTheme="minorEastAsia" w:cstheme="minorEastAsia"/>
          <w:bCs/>
          <w:szCs w:val="21"/>
          <w:highlight w:val="none"/>
          <w:lang w:eastAsia="zh-CN"/>
        </w:rPr>
        <w:t>参选人比选</w:t>
      </w:r>
      <w:r>
        <w:rPr>
          <w:rFonts w:hint="eastAsia" w:asciiTheme="minorEastAsia" w:hAnsiTheme="minorEastAsia" w:eastAsiaTheme="minorEastAsia" w:cstheme="minorEastAsia"/>
          <w:bCs/>
          <w:szCs w:val="21"/>
          <w:highlight w:val="none"/>
        </w:rPr>
        <w:t>报价平均值50%的，即</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报价&lt;全部通过</w:t>
      </w:r>
      <w:r>
        <w:rPr>
          <w:rFonts w:hint="eastAsia" w:asciiTheme="minorEastAsia" w:hAnsiTheme="minorEastAsia" w:eastAsiaTheme="minorEastAsia" w:cstheme="minorEastAsia"/>
          <w:bCs/>
          <w:szCs w:val="21"/>
          <w:highlight w:val="none"/>
          <w:lang w:eastAsia="zh-CN"/>
        </w:rPr>
        <w:t>资格性</w:t>
      </w:r>
      <w:r>
        <w:rPr>
          <w:rFonts w:hint="eastAsia" w:asciiTheme="minorEastAsia" w:hAnsiTheme="minorEastAsia" w:eastAsiaTheme="minorEastAsia" w:cstheme="minorEastAsia"/>
          <w:bCs/>
          <w:szCs w:val="21"/>
          <w:highlight w:val="none"/>
        </w:rPr>
        <w:t>审查</w:t>
      </w:r>
      <w:r>
        <w:rPr>
          <w:rFonts w:hint="eastAsia" w:asciiTheme="minorEastAsia" w:hAnsiTheme="minorEastAsia" w:eastAsiaTheme="minorEastAsia" w:cstheme="minorEastAsia"/>
          <w:bCs/>
          <w:szCs w:val="21"/>
          <w:highlight w:val="none"/>
          <w:lang w:eastAsia="zh-CN"/>
        </w:rPr>
        <w:t>参选人比选</w:t>
      </w:r>
      <w:r>
        <w:rPr>
          <w:rFonts w:hint="eastAsia" w:asciiTheme="minorEastAsia" w:hAnsiTheme="minorEastAsia" w:eastAsiaTheme="minorEastAsia" w:cstheme="minorEastAsia"/>
          <w:bCs/>
          <w:szCs w:val="21"/>
          <w:highlight w:val="none"/>
        </w:rPr>
        <w:t xml:space="preserve">报价平均值×50%； </w:t>
      </w:r>
    </w:p>
    <w:p w14:paraId="7963D4EC">
      <w:pPr>
        <w:spacing w:line="360" w:lineRule="auto"/>
        <w:ind w:firstLine="514" w:firstLineChars="245"/>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lang w:val="en-US" w:eastAsia="zh-CN"/>
        </w:rPr>
        <w:t>2</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报价低于通过</w:t>
      </w:r>
      <w:r>
        <w:rPr>
          <w:rFonts w:hint="eastAsia" w:asciiTheme="minorEastAsia" w:hAnsiTheme="minorEastAsia" w:eastAsiaTheme="minorEastAsia" w:cstheme="minorEastAsia"/>
          <w:bCs/>
          <w:szCs w:val="21"/>
          <w:highlight w:val="none"/>
          <w:lang w:eastAsia="zh-CN"/>
        </w:rPr>
        <w:t>资格性</w:t>
      </w:r>
      <w:r>
        <w:rPr>
          <w:rFonts w:hint="eastAsia" w:asciiTheme="minorEastAsia" w:hAnsiTheme="minorEastAsia" w:eastAsiaTheme="minorEastAsia" w:cstheme="minorEastAsia"/>
          <w:bCs/>
          <w:szCs w:val="21"/>
          <w:highlight w:val="none"/>
        </w:rPr>
        <w:t>审查的次低报价</w:t>
      </w:r>
      <w:r>
        <w:rPr>
          <w:rFonts w:hint="eastAsia" w:asciiTheme="minorEastAsia" w:hAnsiTheme="minorEastAsia" w:eastAsiaTheme="minorEastAsia" w:cstheme="minorEastAsia"/>
          <w:bCs/>
          <w:szCs w:val="21"/>
          <w:highlight w:val="none"/>
          <w:lang w:eastAsia="zh-CN"/>
        </w:rPr>
        <w:t>参选人比选</w:t>
      </w:r>
      <w:r>
        <w:rPr>
          <w:rFonts w:hint="eastAsia" w:asciiTheme="minorEastAsia" w:hAnsiTheme="minorEastAsia" w:eastAsiaTheme="minorEastAsia" w:cstheme="minorEastAsia"/>
          <w:bCs/>
          <w:szCs w:val="21"/>
          <w:highlight w:val="none"/>
        </w:rPr>
        <w:t>报价50%的，即</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报价&lt;通过</w:t>
      </w:r>
      <w:r>
        <w:rPr>
          <w:rFonts w:hint="eastAsia" w:asciiTheme="minorEastAsia" w:hAnsiTheme="minorEastAsia" w:eastAsiaTheme="minorEastAsia" w:cstheme="minorEastAsia"/>
          <w:bCs/>
          <w:szCs w:val="21"/>
          <w:highlight w:val="none"/>
          <w:lang w:eastAsia="zh-CN"/>
        </w:rPr>
        <w:t>资格性</w:t>
      </w:r>
      <w:r>
        <w:rPr>
          <w:rFonts w:hint="eastAsia" w:asciiTheme="minorEastAsia" w:hAnsiTheme="minorEastAsia" w:eastAsiaTheme="minorEastAsia" w:cstheme="minorEastAsia"/>
          <w:bCs/>
          <w:szCs w:val="21"/>
          <w:highlight w:val="none"/>
        </w:rPr>
        <w:t>审查的次低报价</w:t>
      </w:r>
      <w:r>
        <w:rPr>
          <w:rFonts w:hint="eastAsia" w:asciiTheme="minorEastAsia" w:hAnsiTheme="minorEastAsia" w:eastAsiaTheme="minorEastAsia" w:cstheme="minorEastAsia"/>
          <w:bCs/>
          <w:szCs w:val="21"/>
          <w:highlight w:val="none"/>
          <w:lang w:eastAsia="zh-CN"/>
        </w:rPr>
        <w:t>参选人比选</w:t>
      </w:r>
      <w:r>
        <w:rPr>
          <w:rFonts w:hint="eastAsia" w:asciiTheme="minorEastAsia" w:hAnsiTheme="minorEastAsia" w:eastAsiaTheme="minorEastAsia" w:cstheme="minorEastAsia"/>
          <w:bCs/>
          <w:szCs w:val="21"/>
          <w:highlight w:val="none"/>
        </w:rPr>
        <w:t xml:space="preserve">报价×50%； </w:t>
      </w:r>
    </w:p>
    <w:p w14:paraId="44C90A5D">
      <w:pPr>
        <w:spacing w:line="360" w:lineRule="auto"/>
        <w:ind w:firstLine="514" w:firstLineChars="245"/>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lang w:val="en-US" w:eastAsia="zh-CN"/>
        </w:rPr>
        <w:t>3</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报价低于项目最高限价45%的，即</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报价&lt;项目最高限价×45%；</w:t>
      </w:r>
    </w:p>
    <w:p w14:paraId="04924746">
      <w:pPr>
        <w:spacing w:line="360" w:lineRule="auto"/>
        <w:ind w:firstLine="514" w:firstLineChars="245"/>
        <w:rPr>
          <w:rFonts w:hint="eastAsia"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eastAsia="zh-CN"/>
        </w:rPr>
        <w:t>（</w:t>
      </w:r>
      <w:r>
        <w:rPr>
          <w:rFonts w:hint="eastAsia" w:asciiTheme="minorEastAsia" w:hAnsiTheme="minorEastAsia" w:eastAsiaTheme="minorEastAsia" w:cstheme="minorEastAsia"/>
          <w:bCs/>
          <w:szCs w:val="21"/>
          <w:highlight w:val="none"/>
          <w:lang w:val="en-US" w:eastAsia="zh-CN"/>
        </w:rPr>
        <w:t>4</w:t>
      </w:r>
      <w:r>
        <w:rPr>
          <w:rFonts w:hint="eastAsia" w:asciiTheme="minorEastAsia" w:hAnsiTheme="minorEastAsia" w:eastAsiaTheme="minorEastAsia" w:cstheme="minorEastAsia"/>
          <w:bCs/>
          <w:szCs w:val="21"/>
          <w:highlight w:val="none"/>
          <w:lang w:eastAsia="zh-CN"/>
        </w:rPr>
        <w:t>）评审小组</w:t>
      </w:r>
      <w:r>
        <w:rPr>
          <w:rFonts w:hint="eastAsia" w:asciiTheme="minorEastAsia" w:hAnsiTheme="minorEastAsia" w:eastAsiaTheme="minorEastAsia" w:cstheme="minorEastAsia"/>
          <w:bCs/>
          <w:szCs w:val="21"/>
          <w:highlight w:val="none"/>
        </w:rPr>
        <w:t>启动异常低价</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审查后，属于前述第1项至第</w:t>
      </w:r>
      <w:r>
        <w:rPr>
          <w:rFonts w:hint="eastAsia" w:asciiTheme="minorEastAsia" w:hAnsiTheme="minorEastAsia" w:eastAsiaTheme="minorEastAsia" w:cstheme="minorEastAsia"/>
          <w:bCs/>
          <w:szCs w:val="21"/>
          <w:highlight w:val="none"/>
          <w:lang w:val="en-US" w:eastAsia="zh-CN"/>
        </w:rPr>
        <w:t>3</w:t>
      </w:r>
      <w:r>
        <w:rPr>
          <w:rFonts w:hint="eastAsia" w:asciiTheme="minorEastAsia" w:hAnsiTheme="minorEastAsia" w:eastAsiaTheme="minorEastAsia" w:cstheme="minorEastAsia"/>
          <w:bCs/>
          <w:szCs w:val="21"/>
          <w:highlight w:val="none"/>
        </w:rPr>
        <w:t>项情形的，应当要求相关</w:t>
      </w:r>
      <w:r>
        <w:rPr>
          <w:rFonts w:hint="eastAsia" w:asciiTheme="minorEastAsia" w:hAnsiTheme="minorEastAsia" w:eastAsiaTheme="minorEastAsia" w:cstheme="minorEastAsia"/>
          <w:bCs/>
          <w:szCs w:val="21"/>
          <w:highlight w:val="none"/>
          <w:lang w:eastAsia="zh-CN"/>
        </w:rPr>
        <w:t>参选人</w:t>
      </w:r>
      <w:r>
        <w:rPr>
          <w:rFonts w:hint="eastAsia" w:asciiTheme="minorEastAsia" w:hAnsiTheme="minorEastAsia" w:eastAsiaTheme="minorEastAsia" w:cstheme="minorEastAsia"/>
          <w:bCs/>
          <w:szCs w:val="21"/>
          <w:highlight w:val="none"/>
        </w:rPr>
        <w:t>在评审现场合理的时间内对</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价格作出解释，提供项目具体成本测算等与报价合理性相关的书面说明及必要的证明材料，包括但不限于原材料成本、人工成本、制造费用等，给予相关</w:t>
      </w:r>
      <w:r>
        <w:rPr>
          <w:rFonts w:hint="eastAsia" w:asciiTheme="minorEastAsia" w:hAnsiTheme="minorEastAsia" w:eastAsiaTheme="minorEastAsia" w:cstheme="minorEastAsia"/>
          <w:bCs/>
          <w:szCs w:val="21"/>
          <w:highlight w:val="none"/>
          <w:lang w:eastAsia="zh-CN"/>
        </w:rPr>
        <w:t>参选人</w:t>
      </w:r>
      <w:r>
        <w:rPr>
          <w:rFonts w:hint="eastAsia" w:asciiTheme="minorEastAsia" w:hAnsiTheme="minorEastAsia" w:eastAsiaTheme="minorEastAsia" w:cstheme="minorEastAsia"/>
          <w:bCs/>
          <w:szCs w:val="21"/>
          <w:highlight w:val="none"/>
        </w:rPr>
        <w:t>的合理时间一般不少于30分钟。其中，属于第3项情形，</w:t>
      </w:r>
      <w:r>
        <w:rPr>
          <w:rFonts w:hint="eastAsia" w:asciiTheme="minorEastAsia" w:hAnsiTheme="minorEastAsia" w:eastAsiaTheme="minorEastAsia" w:cstheme="minorEastAsia"/>
          <w:bCs/>
          <w:szCs w:val="21"/>
          <w:highlight w:val="none"/>
          <w:lang w:eastAsia="zh-CN"/>
        </w:rPr>
        <w:t>参选人</w:t>
      </w:r>
      <w:r>
        <w:rPr>
          <w:rFonts w:hint="eastAsia" w:asciiTheme="minorEastAsia" w:hAnsiTheme="minorEastAsia" w:eastAsiaTheme="minorEastAsia" w:cstheme="minorEastAsia"/>
          <w:bCs/>
          <w:szCs w:val="21"/>
          <w:highlight w:val="none"/>
        </w:rPr>
        <w:t>已随</w:t>
      </w:r>
      <w:r>
        <w:rPr>
          <w:rFonts w:hint="eastAsia" w:asciiTheme="minorEastAsia" w:hAnsiTheme="minorEastAsia" w:eastAsiaTheme="minorEastAsia" w:cstheme="minorEastAsia"/>
          <w:bCs/>
          <w:szCs w:val="21"/>
          <w:highlight w:val="none"/>
          <w:lang w:eastAsia="zh-CN"/>
        </w:rPr>
        <w:t>比选</w:t>
      </w:r>
      <w:r>
        <w:rPr>
          <w:rFonts w:hint="eastAsia" w:asciiTheme="minorEastAsia" w:hAnsiTheme="minorEastAsia" w:eastAsiaTheme="minorEastAsia" w:cstheme="minorEastAsia"/>
          <w:bCs/>
          <w:szCs w:val="21"/>
          <w:highlight w:val="none"/>
        </w:rPr>
        <w:t xml:space="preserve">文件一并提交相关书面说明及必要的证明材料的，在评审现场可不再重复提交。 </w:t>
      </w:r>
      <w:r>
        <w:rPr>
          <w:rFonts w:hint="eastAsia" w:asciiTheme="minorEastAsia" w:hAnsiTheme="minorEastAsia" w:eastAsiaTheme="minorEastAsia" w:cstheme="minorEastAsia"/>
          <w:bCs/>
          <w:szCs w:val="21"/>
          <w:highlight w:val="none"/>
          <w:lang w:eastAsia="zh-CN"/>
        </w:rPr>
        <w:t>参选人</w:t>
      </w:r>
      <w:r>
        <w:rPr>
          <w:rFonts w:hint="eastAsia" w:asciiTheme="minorEastAsia" w:hAnsiTheme="minorEastAsia" w:eastAsiaTheme="minorEastAsia" w:cstheme="minorEastAsia"/>
          <w:bCs/>
          <w:szCs w:val="21"/>
          <w:highlight w:val="none"/>
        </w:rPr>
        <w:t>不能证明其报价合理性的，</w:t>
      </w:r>
      <w:r>
        <w:rPr>
          <w:rFonts w:hint="eastAsia" w:asciiTheme="minorEastAsia" w:hAnsiTheme="minorEastAsia" w:eastAsiaTheme="minorEastAsia" w:cstheme="minorEastAsia"/>
          <w:bCs/>
          <w:szCs w:val="21"/>
          <w:highlight w:val="none"/>
          <w:lang w:eastAsia="zh-CN"/>
        </w:rPr>
        <w:t>评审小组</w:t>
      </w:r>
      <w:r>
        <w:rPr>
          <w:rFonts w:hint="eastAsia" w:asciiTheme="minorEastAsia" w:hAnsiTheme="minorEastAsia" w:eastAsiaTheme="minorEastAsia" w:cstheme="minorEastAsia"/>
          <w:bCs/>
          <w:szCs w:val="21"/>
          <w:highlight w:val="none"/>
        </w:rPr>
        <w:t>应当将其作为</w:t>
      </w:r>
      <w:r>
        <w:rPr>
          <w:rFonts w:hint="eastAsia" w:asciiTheme="minorEastAsia" w:hAnsiTheme="minorEastAsia" w:eastAsiaTheme="minorEastAsia" w:cstheme="minorEastAsia"/>
          <w:bCs/>
          <w:szCs w:val="21"/>
          <w:highlight w:val="none"/>
          <w:lang w:eastAsia="zh-CN"/>
        </w:rPr>
        <w:t>无效处理。</w:t>
      </w:r>
    </w:p>
    <w:p w14:paraId="3C07920C">
      <w:pPr>
        <w:adjustRightInd w:val="0"/>
        <w:spacing w:line="360" w:lineRule="auto"/>
        <w:contextualSpacing/>
        <w:rPr>
          <w:rFonts w:hint="eastAsia" w:asciiTheme="minorEastAsia" w:hAnsiTheme="minorEastAsia" w:eastAsiaTheme="minorEastAsia" w:cstheme="minorEastAsia"/>
          <w:b/>
          <w:bCs/>
          <w:highlight w:val="none"/>
        </w:rPr>
      </w:pPr>
      <w:r>
        <w:rPr>
          <w:rFonts w:hint="eastAsia" w:asciiTheme="minorEastAsia" w:hAnsiTheme="minorEastAsia" w:eastAsiaTheme="minorEastAsia" w:cstheme="minorEastAsia"/>
          <w:b/>
          <w:bCs/>
          <w:highlight w:val="none"/>
        </w:rPr>
        <w:t>七、推荐候选人</w:t>
      </w:r>
    </w:p>
    <w:p w14:paraId="73B4FC57">
      <w:pPr>
        <w:spacing w:line="360" w:lineRule="auto"/>
        <w:ind w:firstLine="514" w:firstLineChars="245"/>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cstheme="minorEastAsia"/>
          <w:bCs/>
          <w:szCs w:val="21"/>
          <w:highlight w:val="none"/>
          <w:lang w:eastAsia="zh-CN"/>
        </w:rPr>
        <w:t>评审小组</w:t>
      </w:r>
      <w:r>
        <w:rPr>
          <w:rFonts w:hint="eastAsia" w:asciiTheme="minorEastAsia" w:hAnsiTheme="minorEastAsia" w:eastAsiaTheme="minorEastAsia" w:cstheme="minorEastAsia"/>
          <w:bCs/>
          <w:szCs w:val="21"/>
          <w:highlight w:val="none"/>
        </w:rPr>
        <w:t>按综合得分由高到低的排名顺序依次推荐前1-3名参选人为候选人，若出现参选人最终综合得分相同时，则参选人报价低的排名应靠前</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cstheme="minorEastAsia"/>
          <w:bCs/>
          <w:color w:val="auto"/>
          <w:szCs w:val="21"/>
          <w:highlight w:val="none"/>
          <w:lang w:val="en-US" w:eastAsia="zh-CN"/>
        </w:rPr>
        <w:t>最终结果在中心官网上进行候选人公示，公示期间无异议，则第一候选人为本项目中标人。</w:t>
      </w:r>
    </w:p>
    <w:p w14:paraId="59A4417C">
      <w:pPr>
        <w:pStyle w:val="3"/>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18"/>
          <w:szCs w:val="18"/>
          <w:highlight w:val="none"/>
        </w:rPr>
        <w:t>详细评审表量化评分标准、评分依据（满分100分）</w:t>
      </w:r>
    </w:p>
    <w:tbl>
      <w:tblPr>
        <w:tblStyle w:val="9"/>
        <w:tblW w:w="48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088"/>
        <w:gridCol w:w="1022"/>
        <w:gridCol w:w="6522"/>
        <w:gridCol w:w="1019"/>
      </w:tblGrid>
      <w:tr w14:paraId="49B2C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jc w:val="center"/>
        </w:trPr>
        <w:tc>
          <w:tcPr>
            <w:tcW w:w="316" w:type="pct"/>
            <w:noWrap w:val="0"/>
            <w:vAlign w:val="center"/>
          </w:tcPr>
          <w:p w14:paraId="1D85554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528" w:type="pct"/>
            <w:noWrap w:val="0"/>
            <w:vAlign w:val="center"/>
          </w:tcPr>
          <w:p w14:paraId="7C69F4DB">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评分因素及权重</w:t>
            </w:r>
          </w:p>
        </w:tc>
        <w:tc>
          <w:tcPr>
            <w:tcW w:w="496" w:type="pct"/>
            <w:noWrap w:val="0"/>
            <w:vAlign w:val="center"/>
          </w:tcPr>
          <w:p w14:paraId="08008FA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3164" w:type="pct"/>
            <w:noWrap w:val="0"/>
            <w:vAlign w:val="center"/>
          </w:tcPr>
          <w:p w14:paraId="06B3870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494" w:type="pct"/>
            <w:noWrap w:val="0"/>
            <w:vAlign w:val="center"/>
          </w:tcPr>
          <w:p w14:paraId="07392EE4">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14:paraId="74D0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316" w:type="pct"/>
            <w:noWrap w:val="0"/>
            <w:vAlign w:val="center"/>
          </w:tcPr>
          <w:p w14:paraId="59A99445">
            <w:pPr>
              <w:spacing w:line="24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1</w:t>
            </w:r>
          </w:p>
        </w:tc>
        <w:tc>
          <w:tcPr>
            <w:tcW w:w="528" w:type="pct"/>
            <w:noWrap w:val="0"/>
            <w:vAlign w:val="center"/>
          </w:tcPr>
          <w:p w14:paraId="5DE1D794">
            <w:pPr>
              <w:spacing w:line="24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w:t>
            </w:r>
          </w:p>
          <w:p w14:paraId="72919DC7">
            <w:pPr>
              <w:spacing w:line="24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c>
          <w:tcPr>
            <w:tcW w:w="496" w:type="pct"/>
            <w:noWrap w:val="0"/>
            <w:vAlign w:val="center"/>
          </w:tcPr>
          <w:p w14:paraId="5CE418D3">
            <w:pPr>
              <w:spacing w:line="24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w:t>
            </w:r>
          </w:p>
          <w:p w14:paraId="419EAD7C">
            <w:pPr>
              <w:spacing w:line="24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10分</w:t>
            </w:r>
          </w:p>
        </w:tc>
        <w:tc>
          <w:tcPr>
            <w:tcW w:w="3164" w:type="pct"/>
            <w:noWrap w:val="0"/>
            <w:vAlign w:val="top"/>
          </w:tcPr>
          <w:p w14:paraId="1E3AE32E">
            <w:pPr>
              <w:keepNext w:val="0"/>
              <w:keepLines w:val="0"/>
              <w:suppressLineNumbers w:val="0"/>
              <w:spacing w:before="0" w:beforeAutospacing="0" w:after="0" w:afterAutospacing="0"/>
              <w:ind w:left="0" w:right="0"/>
              <w:rPr>
                <w:rFonts w:hint="eastAsia"/>
                <w:color w:val="auto"/>
                <w:szCs w:val="20"/>
                <w:highlight w:val="none"/>
              </w:rPr>
            </w:pPr>
            <w:r>
              <w:rPr>
                <w:rFonts w:hint="eastAsia"/>
                <w:color w:val="auto"/>
                <w:szCs w:val="20"/>
                <w:highlight w:val="none"/>
              </w:rPr>
              <w:t>满足要求且</w:t>
            </w:r>
            <w:r>
              <w:rPr>
                <w:rFonts w:hint="eastAsia"/>
                <w:color w:val="auto"/>
                <w:szCs w:val="20"/>
                <w:highlight w:val="none"/>
                <w:lang w:val="en-US" w:eastAsia="zh-CN"/>
              </w:rPr>
              <w:t>报价最低</w:t>
            </w:r>
            <w:r>
              <w:rPr>
                <w:rFonts w:hint="eastAsia"/>
                <w:color w:val="auto"/>
                <w:szCs w:val="20"/>
                <w:highlight w:val="none"/>
              </w:rPr>
              <w:t>的</w:t>
            </w:r>
            <w:r>
              <w:rPr>
                <w:rFonts w:hint="eastAsia"/>
                <w:color w:val="auto"/>
                <w:szCs w:val="20"/>
                <w:highlight w:val="none"/>
                <w:lang w:eastAsia="zh-CN"/>
              </w:rPr>
              <w:t>参选人</w:t>
            </w:r>
            <w:r>
              <w:rPr>
                <w:rFonts w:hint="eastAsia"/>
                <w:color w:val="auto"/>
                <w:szCs w:val="20"/>
                <w:highlight w:val="none"/>
              </w:rPr>
              <w:t>的价格为</w:t>
            </w:r>
            <w:r>
              <w:rPr>
                <w:rFonts w:hint="eastAsia"/>
                <w:color w:val="auto"/>
                <w:szCs w:val="20"/>
                <w:highlight w:val="none"/>
                <w:lang w:eastAsia="zh-CN"/>
              </w:rPr>
              <w:t>比选</w:t>
            </w:r>
            <w:r>
              <w:rPr>
                <w:rFonts w:hint="eastAsia"/>
                <w:color w:val="auto"/>
                <w:szCs w:val="20"/>
                <w:highlight w:val="none"/>
              </w:rPr>
              <w:t>基准价，其价格分为满分。其他</w:t>
            </w:r>
            <w:r>
              <w:rPr>
                <w:rFonts w:hint="eastAsia"/>
                <w:color w:val="auto"/>
                <w:szCs w:val="20"/>
                <w:highlight w:val="none"/>
                <w:lang w:eastAsia="zh-CN"/>
              </w:rPr>
              <w:t>参选人</w:t>
            </w:r>
            <w:r>
              <w:rPr>
                <w:rFonts w:hint="eastAsia"/>
                <w:color w:val="auto"/>
                <w:szCs w:val="20"/>
                <w:highlight w:val="none"/>
              </w:rPr>
              <w:t>的价格分统一按照下列公式计算：</w:t>
            </w:r>
          </w:p>
          <w:p w14:paraId="40D4982F">
            <w:pPr>
              <w:keepNext w:val="0"/>
              <w:keepLines w:val="0"/>
              <w:suppressLineNumbers w:val="0"/>
              <w:spacing w:before="0" w:beforeAutospacing="0" w:after="0" w:afterAutospacing="0"/>
              <w:ind w:left="0" w:right="0"/>
              <w:rPr>
                <w:rFonts w:hint="default"/>
                <w:color w:val="auto"/>
                <w:szCs w:val="20"/>
                <w:highlight w:val="none"/>
                <w:lang w:val="en-US"/>
              </w:rPr>
            </w:pPr>
            <w:r>
              <w:rPr>
                <w:rFonts w:hint="eastAsia"/>
                <w:color w:val="auto"/>
                <w:szCs w:val="20"/>
                <w:highlight w:val="none"/>
                <w:lang w:eastAsia="zh-CN"/>
              </w:rPr>
              <w:t>比选</w:t>
            </w:r>
            <w:r>
              <w:rPr>
                <w:rFonts w:hint="eastAsia"/>
                <w:color w:val="auto"/>
                <w:szCs w:val="20"/>
                <w:highlight w:val="none"/>
              </w:rPr>
              <w:t>报价得分=</w:t>
            </w:r>
            <w:r>
              <w:rPr>
                <w:rFonts w:hint="eastAsia"/>
                <w:color w:val="auto"/>
                <w:szCs w:val="20"/>
                <w:highlight w:val="none"/>
                <w:lang w:eastAsia="zh-CN"/>
              </w:rPr>
              <w:t>比选</w:t>
            </w:r>
            <w:r>
              <w:rPr>
                <w:rFonts w:hint="eastAsia"/>
                <w:color w:val="auto"/>
                <w:szCs w:val="20"/>
                <w:highlight w:val="none"/>
              </w:rPr>
              <w:t>基准价／</w:t>
            </w:r>
            <w:r>
              <w:rPr>
                <w:rFonts w:hint="eastAsia"/>
                <w:color w:val="auto"/>
                <w:szCs w:val="20"/>
                <w:highlight w:val="none"/>
                <w:lang w:val="en-US" w:eastAsia="zh-CN"/>
              </w:rPr>
              <w:t>比选报价</w:t>
            </w:r>
            <w:r>
              <w:rPr>
                <w:rFonts w:hint="eastAsia"/>
                <w:color w:val="auto"/>
                <w:szCs w:val="20"/>
                <w:highlight w:val="none"/>
              </w:rPr>
              <w:t>×</w:t>
            </w:r>
            <w:r>
              <w:rPr>
                <w:rFonts w:hint="eastAsia"/>
                <w:color w:val="auto"/>
                <w:szCs w:val="20"/>
                <w:highlight w:val="none"/>
                <w:lang w:val="en-US" w:eastAsia="zh-CN"/>
              </w:rPr>
              <w:t>10</w:t>
            </w:r>
          </w:p>
          <w:p w14:paraId="2E7269AD">
            <w:pPr>
              <w:pStyle w:val="11"/>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360" w:lineRule="exact"/>
              <w:ind w:left="0" w:leftChars="0" w:right="0"/>
              <w:jc w:val="both"/>
              <w:textAlignment w:val="auto"/>
              <w:rPr>
                <w:rFonts w:hint="eastAsia" w:ascii="Times New Roman" w:hAnsi="Times New Roman" w:eastAsia="宋体" w:cs="Times New Roman"/>
                <w:snapToGrid/>
                <w:color w:val="auto"/>
                <w:kern w:val="2"/>
                <w:sz w:val="21"/>
                <w:szCs w:val="24"/>
                <w:highlight w:val="none"/>
                <w:lang w:val="en-US" w:eastAsia="zh-CN" w:bidi="ar-SA"/>
              </w:rPr>
            </w:pPr>
            <w:r>
              <w:rPr>
                <w:rFonts w:hint="eastAsia" w:ascii="Times New Roman" w:hAnsi="Times New Roman" w:eastAsia="宋体" w:cs="Times New Roman"/>
                <w:snapToGrid/>
                <w:color w:val="auto"/>
                <w:kern w:val="2"/>
                <w:sz w:val="21"/>
                <w:szCs w:val="24"/>
                <w:highlight w:val="none"/>
                <w:lang w:val="en-US" w:eastAsia="zh-CN" w:bidi="ar-SA"/>
              </w:rPr>
              <w:t>注：1.项目评审过程中，不得去掉</w:t>
            </w:r>
            <w:r>
              <w:rPr>
                <w:rFonts w:hint="eastAsia"/>
                <w:color w:val="auto"/>
                <w:szCs w:val="20"/>
                <w:highlight w:val="none"/>
                <w:lang w:eastAsia="zh-CN"/>
              </w:rPr>
              <w:t>比选</w:t>
            </w:r>
            <w:r>
              <w:rPr>
                <w:rFonts w:hint="eastAsia" w:ascii="Times New Roman" w:hAnsi="Times New Roman" w:eastAsia="宋体" w:cs="Times New Roman"/>
                <w:snapToGrid/>
                <w:color w:val="auto"/>
                <w:kern w:val="2"/>
                <w:sz w:val="21"/>
                <w:szCs w:val="24"/>
                <w:highlight w:val="none"/>
                <w:lang w:val="en-US" w:eastAsia="zh-CN" w:bidi="ar-SA"/>
              </w:rPr>
              <w:t>报价中的最高报价和最低报价。</w:t>
            </w:r>
          </w:p>
          <w:p w14:paraId="20140E6F">
            <w:pPr>
              <w:spacing w:line="240" w:lineRule="auto"/>
              <w:ind w:firstLine="210" w:firstLineChars="100"/>
              <w:rPr>
                <w:rFonts w:hint="eastAsia" w:ascii="宋体" w:hAnsi="宋体" w:eastAsia="宋体" w:cs="宋体"/>
                <w:bCs/>
                <w:color w:val="auto"/>
                <w:sz w:val="24"/>
                <w:szCs w:val="24"/>
                <w:highlight w:val="none"/>
              </w:rPr>
            </w:pPr>
            <w:r>
              <w:rPr>
                <w:rFonts w:hint="eastAsia" w:eastAsia="宋体" w:cs="Times New Roman"/>
                <w:snapToGrid/>
                <w:color w:val="auto"/>
                <w:kern w:val="2"/>
                <w:sz w:val="21"/>
                <w:szCs w:val="24"/>
                <w:highlight w:val="none"/>
                <w:lang w:val="en-US" w:eastAsia="zh-CN" w:bidi="ar-SA"/>
              </w:rPr>
              <w:t>2</w:t>
            </w:r>
            <w:r>
              <w:rPr>
                <w:rFonts w:hint="eastAsia" w:ascii="Times New Roman" w:hAnsi="Times New Roman" w:eastAsia="宋体" w:cs="Times New Roman"/>
                <w:snapToGrid/>
                <w:color w:val="auto"/>
                <w:kern w:val="2"/>
                <w:sz w:val="21"/>
                <w:szCs w:val="24"/>
                <w:highlight w:val="none"/>
                <w:lang w:val="en-US" w:eastAsia="zh-CN" w:bidi="ar-SA"/>
              </w:rPr>
              <w:t>.报价评分的取值按四舍五入法，保留小数点后两位</w:t>
            </w:r>
            <w:r>
              <w:rPr>
                <w:rFonts w:hint="eastAsia" w:ascii="宋体" w:hAnsi="宋体" w:eastAsia="宋体" w:cs="宋体"/>
                <w:snapToGrid w:val="0"/>
                <w:color w:val="auto"/>
                <w:kern w:val="2"/>
                <w:sz w:val="21"/>
                <w:szCs w:val="21"/>
                <w:highlight w:val="none"/>
                <w:lang w:val="en-US" w:eastAsia="zh-CN" w:bidi="ar-SA"/>
              </w:rPr>
              <w:t>。</w:t>
            </w:r>
          </w:p>
        </w:tc>
        <w:tc>
          <w:tcPr>
            <w:tcW w:w="494" w:type="pct"/>
            <w:vMerge w:val="restart"/>
            <w:noWrap w:val="0"/>
            <w:vAlign w:val="center"/>
          </w:tcPr>
          <w:p w14:paraId="01559A4F">
            <w:pPr>
              <w:spacing w:line="400" w:lineRule="exact"/>
              <w:rPr>
                <w:rFonts w:hint="eastAsia" w:ascii="宋体" w:hAnsi="宋体" w:eastAsia="宋体" w:cs="宋体"/>
                <w:color w:val="auto"/>
                <w:sz w:val="24"/>
                <w:szCs w:val="24"/>
                <w:highlight w:val="none"/>
              </w:rPr>
            </w:pPr>
          </w:p>
          <w:p w14:paraId="3761BB13">
            <w:pPr>
              <w:spacing w:line="400" w:lineRule="exact"/>
              <w:ind w:left="-3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共同评审因素</w:t>
            </w:r>
          </w:p>
        </w:tc>
      </w:tr>
      <w:tr w14:paraId="478E1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316" w:type="pct"/>
            <w:vMerge w:val="restart"/>
            <w:shd w:val="clear" w:color="auto" w:fill="auto"/>
            <w:noWrap w:val="0"/>
            <w:vAlign w:val="center"/>
          </w:tcPr>
          <w:p w14:paraId="1B7BA729">
            <w:pPr>
              <w:spacing w:line="400" w:lineRule="exact"/>
              <w:ind w:firstLine="2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28" w:type="pct"/>
            <w:vMerge w:val="restart"/>
            <w:shd w:val="clear" w:color="auto" w:fill="auto"/>
            <w:noWrap w:val="0"/>
            <w:vAlign w:val="center"/>
          </w:tcPr>
          <w:p w14:paraId="1C3B99DE">
            <w:pPr>
              <w:spacing w:line="24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服务</w:t>
            </w:r>
          </w:p>
          <w:p w14:paraId="3A14E964">
            <w:pPr>
              <w:spacing w:line="24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方案</w:t>
            </w:r>
          </w:p>
          <w:p w14:paraId="3A334658">
            <w:pPr>
              <w:spacing w:line="24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60</w:t>
            </w:r>
            <w:r>
              <w:rPr>
                <w:rFonts w:hint="eastAsia" w:ascii="宋体" w:hAnsi="宋体" w:eastAsia="宋体" w:cs="宋体"/>
                <w:bCs/>
                <w:color w:val="auto"/>
                <w:sz w:val="24"/>
                <w:szCs w:val="24"/>
                <w:highlight w:val="none"/>
              </w:rPr>
              <w:t>%</w:t>
            </w:r>
          </w:p>
        </w:tc>
        <w:tc>
          <w:tcPr>
            <w:tcW w:w="496" w:type="pct"/>
            <w:shd w:val="clear" w:color="auto" w:fill="FFFFFF"/>
            <w:noWrap w:val="0"/>
            <w:vAlign w:val="center"/>
          </w:tcPr>
          <w:p w14:paraId="1AD60D8D">
            <w:pPr>
              <w:spacing w:line="240" w:lineRule="atLeas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实施</w:t>
            </w:r>
          </w:p>
          <w:p w14:paraId="64984C60">
            <w:pPr>
              <w:spacing w:line="240" w:lineRule="atLeas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方案</w:t>
            </w:r>
          </w:p>
          <w:p w14:paraId="67523A25">
            <w:pPr>
              <w:spacing w:line="240" w:lineRule="atLeast"/>
              <w:jc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24分</w:t>
            </w:r>
          </w:p>
        </w:tc>
        <w:tc>
          <w:tcPr>
            <w:tcW w:w="3164" w:type="pct"/>
            <w:shd w:val="clear" w:color="auto" w:fill="FFFFFF"/>
            <w:noWrap w:val="0"/>
            <w:vAlign w:val="center"/>
          </w:tcPr>
          <w:p w14:paraId="4C6A6A7A">
            <w:pPr>
              <w:spacing w:line="240" w:lineRule="auto"/>
              <w:ind w:firstLine="240" w:firstLineChars="100"/>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参选人根据本项目的服务内容及要求编制实施方案：①灭鼠方案②灭蚊方案③灭蝇方案④灭蟑方案作详细阐述。方案内容完整提供上述4项内容的得24分。每有一项未提供扣6分，每有一处有缺陷扣3分。（缺陷是指方案中涉及的规范或标准错误</w:t>
            </w:r>
            <w:r>
              <w:rPr>
                <w:rFonts w:hint="eastAsia" w:ascii="宋体" w:hAnsi="宋体" w:eastAsia="宋体" w:cs="宋体"/>
                <w:color w:val="auto"/>
                <w:sz w:val="24"/>
                <w:highlight w:val="none"/>
                <w:lang w:val="en-US" w:eastAsia="zh-CN"/>
              </w:rPr>
              <w:t>或项目名称错误或项目地点错误或不满足本项目采购需求或与本项目需求无关。）</w:t>
            </w:r>
          </w:p>
        </w:tc>
        <w:tc>
          <w:tcPr>
            <w:tcW w:w="494" w:type="pct"/>
            <w:vMerge w:val="continue"/>
            <w:noWrap w:val="0"/>
            <w:vAlign w:val="center"/>
          </w:tcPr>
          <w:p w14:paraId="4B6F1D22">
            <w:pPr>
              <w:spacing w:line="400" w:lineRule="exact"/>
              <w:ind w:left="-38"/>
              <w:rPr>
                <w:rFonts w:hint="eastAsia" w:ascii="宋体" w:hAnsi="宋体" w:eastAsia="宋体" w:cs="宋体"/>
                <w:color w:val="auto"/>
                <w:sz w:val="24"/>
                <w:szCs w:val="24"/>
                <w:highlight w:val="none"/>
              </w:rPr>
            </w:pPr>
          </w:p>
        </w:tc>
      </w:tr>
      <w:tr w14:paraId="1EC7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316" w:type="pct"/>
            <w:vMerge w:val="continue"/>
            <w:shd w:val="clear" w:color="auto" w:fill="auto"/>
            <w:noWrap w:val="0"/>
            <w:vAlign w:val="center"/>
          </w:tcPr>
          <w:p w14:paraId="6D2895E1">
            <w:pPr>
              <w:spacing w:line="360" w:lineRule="auto"/>
              <w:ind w:firstLine="210" w:firstLineChars="100"/>
              <w:rPr>
                <w:rFonts w:hint="eastAsia" w:ascii="宋体" w:hAnsi="宋体" w:eastAsia="宋体" w:cs="宋体"/>
                <w:color w:val="auto"/>
                <w:highlight w:val="none"/>
              </w:rPr>
            </w:pPr>
          </w:p>
        </w:tc>
        <w:tc>
          <w:tcPr>
            <w:tcW w:w="528" w:type="pct"/>
            <w:vMerge w:val="continue"/>
            <w:shd w:val="clear" w:color="auto" w:fill="auto"/>
            <w:noWrap w:val="0"/>
            <w:vAlign w:val="center"/>
          </w:tcPr>
          <w:p w14:paraId="08809AC1">
            <w:pPr>
              <w:spacing w:line="360" w:lineRule="auto"/>
              <w:ind w:firstLine="210" w:firstLineChars="100"/>
              <w:rPr>
                <w:rFonts w:hint="eastAsia" w:ascii="宋体" w:hAnsi="宋体" w:eastAsia="宋体" w:cs="宋体"/>
                <w:color w:val="auto"/>
                <w:highlight w:val="none"/>
              </w:rPr>
            </w:pPr>
          </w:p>
        </w:tc>
        <w:tc>
          <w:tcPr>
            <w:tcW w:w="496" w:type="pct"/>
            <w:shd w:val="clear" w:color="auto" w:fill="FFFFFF"/>
            <w:noWrap w:val="0"/>
            <w:vAlign w:val="center"/>
          </w:tcPr>
          <w:p w14:paraId="23648A91">
            <w:pPr>
              <w:spacing w:line="24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w:t>
            </w:r>
          </w:p>
          <w:p w14:paraId="677D06EC">
            <w:pPr>
              <w:spacing w:line="24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保障</w:t>
            </w:r>
          </w:p>
          <w:p w14:paraId="29A4903C">
            <w:pPr>
              <w:spacing w:line="24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方案</w:t>
            </w:r>
          </w:p>
          <w:p w14:paraId="243C6F5F">
            <w:pPr>
              <w:spacing w:line="24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24分</w:t>
            </w:r>
          </w:p>
        </w:tc>
        <w:tc>
          <w:tcPr>
            <w:tcW w:w="3164" w:type="pct"/>
            <w:shd w:val="clear" w:color="auto" w:fill="FFFFFF"/>
            <w:noWrap w:val="0"/>
            <w:vAlign w:val="center"/>
          </w:tcPr>
          <w:p w14:paraId="38CE1844">
            <w:pPr>
              <w:spacing w:line="24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参选人根据本项目的内容及要求编制服务保障方案：①进度计划保障②人员分工安排与工具配置③实施过程重难点处理</w:t>
            </w:r>
            <w:r>
              <w:rPr>
                <w:rFonts w:hint="eastAsia" w:ascii="宋体" w:hAnsi="宋体" w:eastAsia="宋体" w:cs="宋体"/>
                <w:color w:val="auto"/>
                <w:sz w:val="24"/>
                <w:szCs w:val="24"/>
                <w:highlight w:val="none"/>
                <w:lang w:val="en-US" w:eastAsia="zh-CN"/>
              </w:rPr>
              <w:t>④技术支持方案</w:t>
            </w:r>
            <w:r>
              <w:rPr>
                <w:rFonts w:hint="eastAsia" w:ascii="宋体" w:hAnsi="宋体" w:eastAsia="宋体" w:cs="宋体"/>
                <w:color w:val="auto"/>
                <w:kern w:val="2"/>
                <w:sz w:val="24"/>
                <w:szCs w:val="24"/>
                <w:highlight w:val="none"/>
                <w:lang w:val="en-US" w:eastAsia="zh-CN" w:bidi="ar-SA"/>
              </w:rPr>
              <w:t>作详细阐述。</w:t>
            </w:r>
            <w:r>
              <w:rPr>
                <w:rFonts w:hint="eastAsia" w:ascii="宋体" w:hAnsi="宋体" w:eastAsia="宋体" w:cs="宋体"/>
                <w:color w:val="auto"/>
                <w:sz w:val="24"/>
                <w:highlight w:val="none"/>
                <w:lang w:val="en-US" w:eastAsia="zh-CN"/>
              </w:rPr>
              <w:t>方案内容完整提供上述4项内容的得24分。每有一项未提供扣6分，每有一处有缺陷扣3分。（缺陷是指方案中涉及的规范或标准错误或项目名称错误或项目地点错误或不满足本项目采购需求或与本项目需求无关。）</w:t>
            </w:r>
          </w:p>
        </w:tc>
        <w:tc>
          <w:tcPr>
            <w:tcW w:w="494" w:type="pct"/>
            <w:vMerge w:val="continue"/>
            <w:noWrap w:val="0"/>
            <w:vAlign w:val="center"/>
          </w:tcPr>
          <w:p w14:paraId="4354F103">
            <w:pPr>
              <w:spacing w:line="360" w:lineRule="auto"/>
              <w:ind w:firstLine="240" w:firstLineChars="100"/>
              <w:rPr>
                <w:rFonts w:hint="eastAsia" w:ascii="宋体" w:hAnsi="宋体" w:eastAsia="宋体" w:cs="宋体"/>
                <w:color w:val="auto"/>
                <w:kern w:val="2"/>
                <w:sz w:val="24"/>
                <w:szCs w:val="24"/>
                <w:highlight w:val="none"/>
                <w:lang w:val="en-US" w:eastAsia="zh-CN" w:bidi="ar-SA"/>
              </w:rPr>
            </w:pPr>
          </w:p>
        </w:tc>
      </w:tr>
      <w:tr w14:paraId="0A1F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316" w:type="pct"/>
            <w:vMerge w:val="continue"/>
            <w:shd w:val="clear" w:color="auto" w:fill="auto"/>
            <w:noWrap w:val="0"/>
            <w:vAlign w:val="center"/>
          </w:tcPr>
          <w:p w14:paraId="39C1189C">
            <w:pPr>
              <w:spacing w:line="360" w:lineRule="auto"/>
              <w:ind w:firstLine="240" w:firstLineChars="100"/>
              <w:rPr>
                <w:rFonts w:hint="eastAsia" w:ascii="宋体" w:hAnsi="宋体" w:eastAsia="宋体" w:cs="宋体"/>
                <w:color w:val="auto"/>
                <w:kern w:val="2"/>
                <w:sz w:val="24"/>
                <w:szCs w:val="24"/>
                <w:highlight w:val="none"/>
                <w:lang w:val="en-US" w:eastAsia="zh-CN" w:bidi="ar-SA"/>
              </w:rPr>
            </w:pPr>
          </w:p>
        </w:tc>
        <w:tc>
          <w:tcPr>
            <w:tcW w:w="528" w:type="pct"/>
            <w:vMerge w:val="continue"/>
            <w:shd w:val="clear" w:color="auto" w:fill="auto"/>
            <w:noWrap w:val="0"/>
            <w:vAlign w:val="center"/>
          </w:tcPr>
          <w:p w14:paraId="5E129C4B">
            <w:pPr>
              <w:spacing w:line="360" w:lineRule="auto"/>
              <w:ind w:firstLine="240" w:firstLineChars="100"/>
              <w:rPr>
                <w:rFonts w:hint="eastAsia" w:ascii="宋体" w:hAnsi="宋体" w:eastAsia="宋体" w:cs="宋体"/>
                <w:color w:val="auto"/>
                <w:kern w:val="2"/>
                <w:sz w:val="24"/>
                <w:szCs w:val="24"/>
                <w:highlight w:val="none"/>
                <w:lang w:val="en-US" w:eastAsia="zh-CN" w:bidi="ar-SA"/>
              </w:rPr>
            </w:pPr>
          </w:p>
        </w:tc>
        <w:tc>
          <w:tcPr>
            <w:tcW w:w="496" w:type="pct"/>
            <w:shd w:val="clear" w:color="auto" w:fill="FFFFFF"/>
            <w:noWrap w:val="0"/>
            <w:vAlign w:val="center"/>
          </w:tcPr>
          <w:p w14:paraId="3B91C2A2">
            <w:pPr>
              <w:spacing w:line="24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后续</w:t>
            </w:r>
          </w:p>
          <w:p w14:paraId="0328DF35">
            <w:pPr>
              <w:spacing w:line="24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服务</w:t>
            </w:r>
          </w:p>
          <w:p w14:paraId="2F2DAE6F">
            <w:pPr>
              <w:spacing w:line="24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方案</w:t>
            </w:r>
          </w:p>
          <w:p w14:paraId="357C8B68">
            <w:pPr>
              <w:spacing w:line="240" w:lineRule="atLeas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3164" w:type="pct"/>
            <w:shd w:val="clear" w:color="auto" w:fill="FFFFFF"/>
            <w:noWrap w:val="0"/>
            <w:vAlign w:val="center"/>
          </w:tcPr>
          <w:p w14:paraId="27795337">
            <w:pPr>
              <w:spacing w:line="240" w:lineRule="auto"/>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lang w:eastAsia="zh-CN"/>
              </w:rPr>
              <w:t>参选人</w:t>
            </w:r>
            <w:r>
              <w:rPr>
                <w:rFonts w:hint="eastAsia" w:ascii="宋体" w:hAnsi="宋体" w:eastAsia="宋体" w:cs="宋体"/>
                <w:bCs/>
                <w:color w:val="auto"/>
                <w:sz w:val="24"/>
                <w:szCs w:val="24"/>
                <w:highlight w:val="none"/>
              </w:rPr>
              <w:t>根据本项目的</w:t>
            </w:r>
            <w:r>
              <w:rPr>
                <w:rFonts w:hint="eastAsia" w:ascii="宋体" w:hAnsi="宋体" w:eastAsia="宋体" w:cs="宋体"/>
                <w:bCs/>
                <w:color w:val="auto"/>
                <w:sz w:val="24"/>
                <w:szCs w:val="24"/>
                <w:highlight w:val="none"/>
                <w:lang w:val="en-US" w:eastAsia="zh-CN"/>
              </w:rPr>
              <w:t>服务</w:t>
            </w:r>
            <w:r>
              <w:rPr>
                <w:rFonts w:hint="eastAsia" w:ascii="宋体" w:hAnsi="宋体" w:eastAsia="宋体" w:cs="宋体"/>
                <w:bCs/>
                <w:color w:val="auto"/>
                <w:sz w:val="24"/>
                <w:szCs w:val="24"/>
                <w:highlight w:val="none"/>
              </w:rPr>
              <w:t>内容及要求编制</w:t>
            </w:r>
            <w:r>
              <w:rPr>
                <w:rFonts w:hint="eastAsia" w:ascii="宋体" w:hAnsi="宋体" w:eastAsia="宋体" w:cs="宋体"/>
                <w:bCs/>
                <w:color w:val="auto"/>
                <w:sz w:val="24"/>
                <w:szCs w:val="24"/>
                <w:highlight w:val="none"/>
                <w:lang w:val="en-US" w:eastAsia="zh-CN"/>
              </w:rPr>
              <w:t>后续服务</w:t>
            </w:r>
            <w:r>
              <w:rPr>
                <w:rFonts w:hint="eastAsia" w:ascii="宋体" w:hAnsi="宋体" w:eastAsia="宋体" w:cs="宋体"/>
                <w:bCs/>
                <w:color w:val="auto"/>
                <w:sz w:val="24"/>
                <w:szCs w:val="24"/>
                <w:highlight w:val="none"/>
              </w:rPr>
              <w:t>方案</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lang w:val="en-US" w:eastAsia="zh-CN"/>
              </w:rPr>
              <w:t>档案整理</w:t>
            </w:r>
            <w:r>
              <w:rPr>
                <w:rFonts w:hint="eastAsia" w:ascii="宋体" w:hAnsi="宋体" w:eastAsia="宋体" w:cs="宋体"/>
                <w:color w:val="auto"/>
                <w:kern w:val="2"/>
                <w:sz w:val="24"/>
                <w:szCs w:val="24"/>
                <w:highlight w:val="none"/>
                <w:lang w:val="en-US" w:eastAsia="zh-CN" w:bidi="ar-SA"/>
              </w:rPr>
              <w:t>②</w:t>
            </w:r>
            <w:r>
              <w:rPr>
                <w:rFonts w:hint="eastAsia" w:ascii="宋体" w:hAnsi="宋体" w:eastAsia="宋体" w:cs="宋体"/>
                <w:bCs/>
                <w:color w:val="auto"/>
                <w:sz w:val="24"/>
                <w:szCs w:val="24"/>
                <w:highlight w:val="none"/>
                <w:lang w:val="en-US" w:eastAsia="zh-CN"/>
              </w:rPr>
              <w:t>消杀宣传</w:t>
            </w:r>
            <w:r>
              <w:rPr>
                <w:rFonts w:hint="eastAsia" w:ascii="宋体" w:hAnsi="宋体" w:eastAsia="宋体" w:cs="宋体"/>
                <w:color w:val="auto"/>
                <w:kern w:val="2"/>
                <w:sz w:val="24"/>
                <w:szCs w:val="24"/>
                <w:highlight w:val="none"/>
                <w:lang w:val="en-US" w:eastAsia="zh-CN" w:bidi="ar-SA"/>
              </w:rPr>
              <w:t>③应急消杀方案</w:t>
            </w:r>
            <w:r>
              <w:rPr>
                <w:rFonts w:hint="eastAsia" w:ascii="宋体" w:hAnsi="宋体" w:eastAsia="宋体" w:cs="宋体"/>
                <w:bCs/>
                <w:color w:val="auto"/>
                <w:sz w:val="24"/>
                <w:szCs w:val="24"/>
                <w:highlight w:val="none"/>
              </w:rPr>
              <w:t>作详细阐述</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highlight w:val="none"/>
                <w:lang w:val="en-US" w:eastAsia="zh-CN"/>
              </w:rPr>
              <w:t>方案内容完整提供上述3项内容的得12分。每有一项未提供扣4分，每有一处有缺陷扣2分。（缺陷是指方案中涉及的规范或标准错误或项目名称错误或项目地点错误或不满足本项目采购需求或与本项目需求无关。）</w:t>
            </w:r>
          </w:p>
        </w:tc>
        <w:tc>
          <w:tcPr>
            <w:tcW w:w="494" w:type="pct"/>
            <w:vMerge w:val="continue"/>
            <w:noWrap w:val="0"/>
            <w:vAlign w:val="center"/>
          </w:tcPr>
          <w:p w14:paraId="3F83BCF0">
            <w:pPr>
              <w:spacing w:line="360" w:lineRule="auto"/>
              <w:ind w:firstLine="240" w:firstLineChars="100"/>
              <w:rPr>
                <w:rFonts w:hint="eastAsia" w:ascii="宋体" w:hAnsi="宋体" w:eastAsia="宋体" w:cs="宋体"/>
                <w:color w:val="auto"/>
                <w:kern w:val="2"/>
                <w:sz w:val="24"/>
                <w:szCs w:val="24"/>
                <w:highlight w:val="none"/>
                <w:lang w:val="en-US" w:eastAsia="zh-CN" w:bidi="ar-SA"/>
              </w:rPr>
            </w:pPr>
          </w:p>
        </w:tc>
      </w:tr>
      <w:tr w14:paraId="441D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316" w:type="pct"/>
            <w:vMerge w:val="restart"/>
            <w:noWrap w:val="0"/>
            <w:vAlign w:val="center"/>
          </w:tcPr>
          <w:p w14:paraId="002A1BAA">
            <w:pPr>
              <w:spacing w:line="400" w:lineRule="exact"/>
              <w:ind w:firstLine="28"/>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28" w:type="pct"/>
            <w:vMerge w:val="restart"/>
            <w:noWrap w:val="0"/>
            <w:vAlign w:val="center"/>
          </w:tcPr>
          <w:p w14:paraId="10B5D747">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w:t>
            </w:r>
          </w:p>
          <w:p w14:paraId="23B2D2FD">
            <w:pPr>
              <w:spacing w:line="24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能力</w:t>
            </w:r>
          </w:p>
          <w:p w14:paraId="6F1D41E2">
            <w:pPr>
              <w:spacing w:line="240" w:lineRule="atLeast"/>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p>
        </w:tc>
        <w:tc>
          <w:tcPr>
            <w:tcW w:w="496" w:type="pct"/>
            <w:noWrap w:val="0"/>
            <w:vAlign w:val="center"/>
          </w:tcPr>
          <w:p w14:paraId="3AAFED5F">
            <w:pPr>
              <w:spacing w:line="24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业绩</w:t>
            </w:r>
          </w:p>
          <w:p w14:paraId="5B8697AE">
            <w:pPr>
              <w:spacing w:line="24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tc>
        <w:tc>
          <w:tcPr>
            <w:tcW w:w="3164" w:type="pct"/>
            <w:noWrap w:val="0"/>
            <w:vAlign w:val="center"/>
          </w:tcPr>
          <w:p w14:paraId="56C740B8">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20</w:t>
            </w:r>
            <w:r>
              <w:rPr>
                <w:rFonts w:hint="eastAsia" w:ascii="宋体" w:hAnsi="宋体" w:eastAsia="宋体" w:cs="宋体"/>
                <w:bCs/>
                <w:color w:val="auto"/>
                <w:sz w:val="24"/>
                <w:szCs w:val="24"/>
                <w:highlight w:val="none"/>
                <w:lang w:val="en-US" w:eastAsia="zh-CN"/>
              </w:rPr>
              <w:t>23</w:t>
            </w:r>
            <w:r>
              <w:rPr>
                <w:rFonts w:hint="eastAsia" w:ascii="宋体" w:hAnsi="宋体" w:eastAsia="宋体" w:cs="宋体"/>
                <w:bCs/>
                <w:color w:val="auto"/>
                <w:sz w:val="24"/>
                <w:szCs w:val="24"/>
                <w:highlight w:val="none"/>
              </w:rPr>
              <w:t>年1月1日至递交响应文件截止</w:t>
            </w:r>
            <w:r>
              <w:rPr>
                <w:rFonts w:hint="eastAsia" w:ascii="宋体" w:hAnsi="宋体" w:eastAsia="宋体" w:cs="宋体"/>
                <w:bCs/>
                <w:color w:val="auto"/>
                <w:sz w:val="24"/>
                <w:szCs w:val="24"/>
                <w:highlight w:val="none"/>
                <w:lang w:val="en-US" w:eastAsia="zh-CN"/>
              </w:rPr>
              <w:t>日</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参选人</w:t>
            </w:r>
            <w:r>
              <w:rPr>
                <w:rFonts w:hint="eastAsia" w:ascii="宋体" w:hAnsi="宋体" w:eastAsia="宋体" w:cs="宋体"/>
                <w:bCs/>
                <w:color w:val="auto"/>
                <w:sz w:val="24"/>
                <w:szCs w:val="24"/>
                <w:highlight w:val="none"/>
              </w:rPr>
              <w:t>每具有1个类似业绩的得</w:t>
            </w: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分，本项最多得</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p w14:paraId="64191B84">
            <w:pPr>
              <w:spacing w:line="240" w:lineRule="auto"/>
              <w:ind w:firstLine="241" w:firstLineChars="1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注：以</w:t>
            </w:r>
            <w:r>
              <w:rPr>
                <w:rFonts w:hint="eastAsia" w:ascii="宋体" w:hAnsi="宋体" w:eastAsia="宋体" w:cs="宋体"/>
                <w:b/>
                <w:color w:val="auto"/>
                <w:sz w:val="24"/>
                <w:szCs w:val="24"/>
                <w:highlight w:val="none"/>
                <w:lang w:val="zh-CN"/>
              </w:rPr>
              <w:t>合同</w:t>
            </w:r>
            <w:r>
              <w:rPr>
                <w:rFonts w:hint="eastAsia" w:ascii="宋体" w:hAnsi="宋体" w:eastAsia="宋体" w:cs="宋体"/>
                <w:b/>
                <w:color w:val="auto"/>
                <w:sz w:val="24"/>
                <w:szCs w:val="24"/>
                <w:highlight w:val="none"/>
                <w:lang w:val="en-US" w:eastAsia="zh-CN"/>
              </w:rPr>
              <w:t>签订时间</w:t>
            </w:r>
            <w:r>
              <w:rPr>
                <w:rFonts w:hint="eastAsia" w:ascii="宋体" w:hAnsi="宋体" w:eastAsia="宋体" w:cs="宋体"/>
                <w:b/>
                <w:color w:val="auto"/>
                <w:sz w:val="24"/>
                <w:szCs w:val="24"/>
                <w:highlight w:val="none"/>
                <w:lang w:val="zh-CN"/>
              </w:rPr>
              <w:t>为准</w:t>
            </w:r>
            <w:r>
              <w:rPr>
                <w:rFonts w:hint="eastAsia" w:ascii="宋体" w:hAnsi="宋体" w:eastAsia="宋体" w:cs="宋体"/>
                <w:b/>
                <w:color w:val="auto"/>
                <w:sz w:val="24"/>
                <w:szCs w:val="24"/>
                <w:highlight w:val="none"/>
              </w:rPr>
              <w:t>，提供合同复印件并加盖</w:t>
            </w:r>
            <w:r>
              <w:rPr>
                <w:rFonts w:hint="eastAsia" w:ascii="宋体" w:hAnsi="宋体" w:eastAsia="宋体" w:cs="宋体"/>
                <w:b/>
                <w:color w:val="auto"/>
                <w:sz w:val="24"/>
                <w:szCs w:val="24"/>
                <w:highlight w:val="none"/>
                <w:lang w:eastAsia="zh-CN"/>
              </w:rPr>
              <w:t>参选人</w:t>
            </w:r>
            <w:r>
              <w:rPr>
                <w:rFonts w:hint="eastAsia" w:ascii="宋体" w:hAnsi="宋体" w:eastAsia="宋体" w:cs="宋体"/>
                <w:b/>
                <w:color w:val="auto"/>
                <w:sz w:val="24"/>
                <w:szCs w:val="24"/>
                <w:highlight w:val="none"/>
              </w:rPr>
              <w:t>公章。</w:t>
            </w:r>
          </w:p>
        </w:tc>
        <w:tc>
          <w:tcPr>
            <w:tcW w:w="494" w:type="pct"/>
            <w:vMerge w:val="restart"/>
            <w:noWrap w:val="0"/>
            <w:vAlign w:val="center"/>
          </w:tcPr>
          <w:p w14:paraId="21366A58">
            <w:pPr>
              <w:spacing w:line="400" w:lineRule="exact"/>
              <w:ind w:left="-38"/>
              <w:rPr>
                <w:rFonts w:hint="eastAsia" w:ascii="宋体" w:hAnsi="宋体" w:eastAsia="宋体" w:cs="宋体"/>
                <w:color w:val="auto"/>
                <w:sz w:val="24"/>
                <w:szCs w:val="24"/>
                <w:highlight w:val="none"/>
              </w:rPr>
            </w:pPr>
          </w:p>
        </w:tc>
      </w:tr>
      <w:tr w14:paraId="0DC2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0" w:hRule="atLeast"/>
          <w:jc w:val="center"/>
        </w:trPr>
        <w:tc>
          <w:tcPr>
            <w:tcW w:w="316" w:type="pct"/>
            <w:vMerge w:val="continue"/>
            <w:noWrap w:val="0"/>
            <w:vAlign w:val="center"/>
          </w:tcPr>
          <w:p w14:paraId="321E0F27">
            <w:pPr>
              <w:spacing w:line="400" w:lineRule="exact"/>
              <w:ind w:firstLine="28"/>
              <w:jc w:val="center"/>
              <w:rPr>
                <w:rFonts w:hint="eastAsia" w:ascii="宋体" w:hAnsi="宋体" w:eastAsia="宋体" w:cs="宋体"/>
                <w:color w:val="auto"/>
                <w:sz w:val="24"/>
                <w:szCs w:val="24"/>
                <w:highlight w:val="none"/>
              </w:rPr>
            </w:pPr>
          </w:p>
        </w:tc>
        <w:tc>
          <w:tcPr>
            <w:tcW w:w="528" w:type="pct"/>
            <w:vMerge w:val="continue"/>
            <w:noWrap w:val="0"/>
            <w:vAlign w:val="center"/>
          </w:tcPr>
          <w:p w14:paraId="5221B48C">
            <w:pPr>
              <w:spacing w:line="240" w:lineRule="atLeast"/>
              <w:jc w:val="center"/>
              <w:rPr>
                <w:rFonts w:hint="eastAsia" w:ascii="宋体" w:hAnsi="宋体" w:eastAsia="宋体" w:cs="宋体"/>
                <w:bCs/>
                <w:color w:val="auto"/>
                <w:sz w:val="24"/>
                <w:szCs w:val="24"/>
                <w:highlight w:val="none"/>
              </w:rPr>
            </w:pPr>
          </w:p>
        </w:tc>
        <w:tc>
          <w:tcPr>
            <w:tcW w:w="496" w:type="pct"/>
            <w:noWrap w:val="0"/>
            <w:vAlign w:val="center"/>
          </w:tcPr>
          <w:p w14:paraId="7DF236EA">
            <w:pPr>
              <w:spacing w:line="24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人员</w:t>
            </w:r>
          </w:p>
          <w:p w14:paraId="0F694293">
            <w:pPr>
              <w:spacing w:line="24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配备</w:t>
            </w:r>
          </w:p>
          <w:p w14:paraId="4FFA952F">
            <w:pPr>
              <w:spacing w:line="24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p>
        </w:tc>
        <w:tc>
          <w:tcPr>
            <w:tcW w:w="3164" w:type="pct"/>
            <w:noWrap w:val="0"/>
            <w:vAlign w:val="center"/>
          </w:tcPr>
          <w:p w14:paraId="3414A1E8">
            <w:pPr>
              <w:spacing w:line="240" w:lineRule="auto"/>
              <w:ind w:left="239" w:leftChars="114" w:firstLine="0" w:firstLineChars="0"/>
              <w:rPr>
                <w:rFonts w:hint="eastAsia" w:ascii="宋体" w:hAnsi="宋体" w:eastAsia="宋体" w:cs="宋体"/>
                <w:b/>
                <w:bCs w:val="0"/>
                <w:color w:val="auto"/>
                <w:sz w:val="24"/>
                <w:highlight w:val="none"/>
                <w:lang w:val="en-US" w:eastAsia="zh-CN"/>
              </w:rPr>
            </w:pPr>
            <w:r>
              <w:rPr>
                <w:rFonts w:hint="eastAsia" w:ascii="宋体" w:hAnsi="宋体" w:eastAsia="宋体" w:cs="宋体"/>
                <w:b/>
                <w:bCs w:val="0"/>
                <w:color w:val="auto"/>
                <w:sz w:val="24"/>
                <w:szCs w:val="24"/>
                <w:highlight w:val="none"/>
                <w:lang w:val="en-US" w:eastAsia="zh-CN"/>
              </w:rPr>
              <w:t>满足本项目</w:t>
            </w:r>
            <w:r>
              <w:rPr>
                <w:rFonts w:hint="eastAsia" w:ascii="宋体" w:hAnsi="宋体" w:eastAsia="宋体" w:cs="宋体"/>
                <w:b/>
                <w:bCs w:val="0"/>
                <w:color w:val="auto"/>
                <w:sz w:val="24"/>
                <w:highlight w:val="none"/>
                <w:lang w:val="en-US" w:eastAsia="zh-CN"/>
              </w:rPr>
              <w:t>基本人员配置要求（1人）的基础上：</w:t>
            </w:r>
          </w:p>
          <w:p w14:paraId="37210BD6">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1.拟派项目负责人（1名）：具有有害生物防治员三级的得4分，此项最多得4分。</w:t>
            </w:r>
          </w:p>
          <w:p w14:paraId="3DF84CDB">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2.拟派团队成员：每增配1名具有有害生物防治员四级或以上的得3分，此项最多得6分</w:t>
            </w:r>
          </w:p>
          <w:p w14:paraId="3C947022">
            <w:pPr>
              <w:spacing w:line="240" w:lineRule="auto"/>
              <w:ind w:firstLine="241" w:firstLineChars="100"/>
              <w:rPr>
                <w:rFonts w:hint="eastAsia" w:ascii="宋体" w:hAnsi="宋体" w:eastAsia="宋体" w:cs="宋体"/>
                <w:color w:val="auto"/>
                <w:highlight w:val="none"/>
                <w:lang w:val="en-US" w:eastAsia="zh-CN"/>
              </w:rPr>
            </w:pPr>
            <w:r>
              <w:rPr>
                <w:rFonts w:hint="eastAsia" w:ascii="宋体" w:hAnsi="宋体" w:eastAsia="宋体" w:cs="宋体"/>
                <w:b/>
                <w:bCs w:val="0"/>
                <w:color w:val="auto"/>
                <w:sz w:val="24"/>
                <w:szCs w:val="24"/>
                <w:highlight w:val="none"/>
                <w:lang w:val="en-US" w:eastAsia="zh-CN"/>
              </w:rPr>
              <w:t>注：提供相关职业资格证书复印件加盖参选人公章。</w:t>
            </w:r>
          </w:p>
        </w:tc>
        <w:tc>
          <w:tcPr>
            <w:tcW w:w="494" w:type="pct"/>
            <w:vMerge w:val="continue"/>
            <w:noWrap w:val="0"/>
            <w:vAlign w:val="center"/>
          </w:tcPr>
          <w:p w14:paraId="02CBECEE">
            <w:pPr>
              <w:spacing w:line="400" w:lineRule="exact"/>
              <w:ind w:left="-38"/>
              <w:rPr>
                <w:rFonts w:hint="eastAsia" w:ascii="宋体" w:hAnsi="宋体" w:eastAsia="宋体" w:cs="宋体"/>
                <w:color w:val="auto"/>
                <w:sz w:val="24"/>
                <w:szCs w:val="24"/>
                <w:highlight w:val="none"/>
              </w:rPr>
            </w:pPr>
          </w:p>
        </w:tc>
      </w:tr>
      <w:tr w14:paraId="3600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jc w:val="center"/>
        </w:trPr>
        <w:tc>
          <w:tcPr>
            <w:tcW w:w="316" w:type="pct"/>
            <w:vMerge w:val="continue"/>
            <w:noWrap w:val="0"/>
            <w:vAlign w:val="center"/>
          </w:tcPr>
          <w:p w14:paraId="0ADDAC4E">
            <w:pPr>
              <w:spacing w:line="400" w:lineRule="exact"/>
              <w:ind w:firstLine="28"/>
              <w:jc w:val="center"/>
              <w:rPr>
                <w:rFonts w:hint="eastAsia" w:ascii="宋体" w:hAnsi="宋体" w:eastAsia="宋体" w:cs="宋体"/>
                <w:color w:val="auto"/>
                <w:sz w:val="24"/>
                <w:szCs w:val="24"/>
                <w:highlight w:val="none"/>
              </w:rPr>
            </w:pPr>
          </w:p>
        </w:tc>
        <w:tc>
          <w:tcPr>
            <w:tcW w:w="528" w:type="pct"/>
            <w:vMerge w:val="continue"/>
            <w:noWrap w:val="0"/>
            <w:vAlign w:val="center"/>
          </w:tcPr>
          <w:p w14:paraId="36E70453">
            <w:pPr>
              <w:spacing w:line="240" w:lineRule="atLeast"/>
              <w:jc w:val="center"/>
              <w:rPr>
                <w:rFonts w:hint="eastAsia" w:ascii="宋体" w:hAnsi="宋体" w:eastAsia="宋体" w:cs="宋体"/>
                <w:bCs/>
                <w:color w:val="auto"/>
                <w:sz w:val="24"/>
                <w:szCs w:val="24"/>
                <w:highlight w:val="none"/>
              </w:rPr>
            </w:pPr>
          </w:p>
        </w:tc>
        <w:tc>
          <w:tcPr>
            <w:tcW w:w="496" w:type="pct"/>
            <w:noWrap w:val="0"/>
            <w:vAlign w:val="center"/>
          </w:tcPr>
          <w:p w14:paraId="485B549A">
            <w:pPr>
              <w:spacing w:line="24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消杀</w:t>
            </w:r>
          </w:p>
          <w:p w14:paraId="76F02B34">
            <w:pPr>
              <w:spacing w:line="24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器具</w:t>
            </w:r>
          </w:p>
          <w:p w14:paraId="38A489FF">
            <w:pPr>
              <w:spacing w:line="24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10分</w:t>
            </w:r>
          </w:p>
        </w:tc>
        <w:tc>
          <w:tcPr>
            <w:tcW w:w="3164" w:type="pct"/>
            <w:noWrap w:val="0"/>
            <w:vAlign w:val="center"/>
          </w:tcPr>
          <w:p w14:paraId="4D3B6F5E">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1.具有施工车辆2辆的得1分，每增加1台得1分，此项最多得2分。</w:t>
            </w:r>
          </w:p>
          <w:p w14:paraId="27FAAFB2">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2.具有常量喷雾器5台的得1分，每增加1台的0.5分，最多得2分。</w:t>
            </w:r>
          </w:p>
          <w:p w14:paraId="6D7057E6">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3.具有手推式喷雾器2台的得1分，每增加1台的0.5分，最多得2分。</w:t>
            </w:r>
          </w:p>
          <w:p w14:paraId="5BB3A33A">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4.具有超低容量喷雾器1台的得1分，每增加1台的0.5分，最多得2分。</w:t>
            </w:r>
          </w:p>
          <w:p w14:paraId="7EA6549A">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5.具有热力烟雾机1台的得1分，每增加1台的0.5分，最多得2分。</w:t>
            </w:r>
          </w:p>
          <w:p w14:paraId="04F139B3">
            <w:pPr>
              <w:spacing w:line="240" w:lineRule="auto"/>
              <w:ind w:firstLine="241"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注：自有的提供购买发票复印件或租赁的提供设备租赁合同复印件加盖参选人公章。</w:t>
            </w:r>
          </w:p>
        </w:tc>
        <w:tc>
          <w:tcPr>
            <w:tcW w:w="494" w:type="pct"/>
            <w:noWrap w:val="0"/>
            <w:vAlign w:val="center"/>
          </w:tcPr>
          <w:p w14:paraId="7AC8156B">
            <w:pPr>
              <w:spacing w:line="400" w:lineRule="exact"/>
              <w:ind w:left="-38"/>
              <w:rPr>
                <w:rFonts w:hint="eastAsia" w:ascii="宋体" w:hAnsi="宋体" w:eastAsia="宋体" w:cs="宋体"/>
                <w:color w:val="auto"/>
                <w:sz w:val="24"/>
                <w:szCs w:val="24"/>
                <w:highlight w:val="none"/>
              </w:rPr>
            </w:pPr>
          </w:p>
        </w:tc>
      </w:tr>
    </w:tbl>
    <w:p w14:paraId="7C1FA27D">
      <w:pPr>
        <w:keepNext w:val="0"/>
        <w:keepLines w:val="0"/>
        <w:pageBreakBefore w:val="0"/>
        <w:widowControl/>
        <w:kinsoku/>
        <w:wordWrap/>
        <w:overflowPunct/>
        <w:topLinePunct w:val="0"/>
        <w:autoSpaceDE/>
        <w:autoSpaceDN/>
        <w:bidi w:val="0"/>
        <w:adjustRightInd/>
        <w:snapToGrid/>
        <w:spacing w:line="700" w:lineRule="exact"/>
        <w:ind w:left="1040" w:leftChars="0" w:right="0" w:rightChars="0" w:hanging="1040" w:hangingChars="200"/>
        <w:jc w:val="center"/>
        <w:textAlignment w:val="auto"/>
        <w:outlineLvl w:val="5"/>
        <w:rPr>
          <w:rFonts w:hint="eastAsia" w:ascii="宋体" w:hAnsi="宋体" w:eastAsia="宋体" w:cs="宋体"/>
          <w:color w:val="auto"/>
          <w:sz w:val="52"/>
          <w:szCs w:val="52"/>
          <w:highlight w:val="none"/>
          <w:lang w:val="en-US" w:eastAsia="zh-CN"/>
        </w:rPr>
      </w:pPr>
    </w:p>
    <w:p w14:paraId="51105DE3">
      <w:pPr>
        <w:keepNext w:val="0"/>
        <w:keepLines w:val="0"/>
        <w:pageBreakBefore w:val="0"/>
        <w:widowControl/>
        <w:kinsoku/>
        <w:wordWrap/>
        <w:overflowPunct/>
        <w:topLinePunct w:val="0"/>
        <w:autoSpaceDE/>
        <w:autoSpaceDN/>
        <w:bidi w:val="0"/>
        <w:adjustRightInd/>
        <w:snapToGrid/>
        <w:spacing w:line="700" w:lineRule="exact"/>
        <w:ind w:left="1040" w:leftChars="0" w:right="0" w:rightChars="0" w:hanging="1040" w:hangingChars="200"/>
        <w:jc w:val="center"/>
        <w:textAlignment w:val="auto"/>
        <w:outlineLvl w:val="5"/>
        <w:rPr>
          <w:rFonts w:hint="eastAsia" w:ascii="宋体" w:hAnsi="宋体" w:eastAsia="宋体" w:cs="宋体"/>
          <w:color w:val="auto"/>
          <w:sz w:val="52"/>
          <w:szCs w:val="52"/>
          <w:highlight w:val="none"/>
          <w:lang w:val="en-US" w:eastAsia="zh-CN"/>
        </w:rPr>
      </w:pPr>
    </w:p>
    <w:p w14:paraId="48EFAD64">
      <w:pPr>
        <w:keepNext w:val="0"/>
        <w:keepLines w:val="0"/>
        <w:pageBreakBefore w:val="0"/>
        <w:widowControl/>
        <w:kinsoku/>
        <w:wordWrap/>
        <w:overflowPunct/>
        <w:topLinePunct w:val="0"/>
        <w:autoSpaceDE/>
        <w:autoSpaceDN/>
        <w:bidi w:val="0"/>
        <w:adjustRightInd/>
        <w:snapToGrid/>
        <w:spacing w:line="700" w:lineRule="exact"/>
        <w:ind w:left="1040" w:leftChars="0" w:right="0" w:rightChars="0" w:hanging="1040" w:hangingChars="200"/>
        <w:jc w:val="center"/>
        <w:textAlignment w:val="auto"/>
        <w:outlineLvl w:val="5"/>
        <w:rPr>
          <w:rFonts w:hint="eastAsia" w:ascii="宋体" w:hAnsi="宋体" w:eastAsia="宋体" w:cs="宋体"/>
          <w:color w:val="auto"/>
          <w:sz w:val="52"/>
          <w:szCs w:val="52"/>
          <w:highlight w:val="none"/>
          <w:lang w:val="en-US" w:eastAsia="zh-CN"/>
        </w:rPr>
      </w:pPr>
    </w:p>
    <w:p w14:paraId="06331974">
      <w:pPr>
        <w:keepNext w:val="0"/>
        <w:keepLines w:val="0"/>
        <w:pageBreakBefore w:val="0"/>
        <w:widowControl/>
        <w:kinsoku/>
        <w:wordWrap/>
        <w:overflowPunct/>
        <w:topLinePunct w:val="0"/>
        <w:autoSpaceDE/>
        <w:autoSpaceDN/>
        <w:bidi w:val="0"/>
        <w:adjustRightInd/>
        <w:snapToGrid/>
        <w:spacing w:line="700" w:lineRule="exact"/>
        <w:ind w:left="1040" w:leftChars="0" w:right="0" w:rightChars="0" w:hanging="1040" w:hangingChars="200"/>
        <w:jc w:val="center"/>
        <w:textAlignment w:val="auto"/>
        <w:outlineLvl w:val="5"/>
        <w:rPr>
          <w:rFonts w:hint="eastAsia" w:ascii="宋体" w:hAnsi="宋体" w:eastAsia="宋体" w:cs="宋体"/>
          <w:color w:val="auto"/>
          <w:sz w:val="52"/>
          <w:szCs w:val="52"/>
          <w:highlight w:val="none"/>
          <w:lang w:val="en-US" w:eastAsia="zh-CN"/>
        </w:rPr>
      </w:pPr>
    </w:p>
    <w:p w14:paraId="773E3C31">
      <w:pPr>
        <w:keepNext w:val="0"/>
        <w:keepLines w:val="0"/>
        <w:pageBreakBefore w:val="0"/>
        <w:widowControl/>
        <w:kinsoku/>
        <w:wordWrap/>
        <w:overflowPunct/>
        <w:topLinePunct w:val="0"/>
        <w:autoSpaceDE/>
        <w:autoSpaceDN/>
        <w:bidi w:val="0"/>
        <w:adjustRightInd/>
        <w:snapToGrid/>
        <w:spacing w:line="700" w:lineRule="exact"/>
        <w:ind w:left="1040" w:leftChars="0" w:right="0" w:rightChars="0" w:hanging="1040" w:hangingChars="200"/>
        <w:jc w:val="center"/>
        <w:textAlignment w:val="auto"/>
        <w:outlineLvl w:val="5"/>
        <w:rPr>
          <w:rFonts w:hint="eastAsia" w:ascii="宋体" w:hAnsi="宋体" w:eastAsia="宋体" w:cs="宋体"/>
          <w:color w:val="auto"/>
          <w:sz w:val="52"/>
          <w:szCs w:val="52"/>
          <w:highlight w:val="none"/>
          <w:lang w:val="en-US" w:eastAsia="zh-CN"/>
        </w:rPr>
      </w:pPr>
    </w:p>
    <w:p w14:paraId="73D04544">
      <w:pPr>
        <w:keepNext w:val="0"/>
        <w:keepLines w:val="0"/>
        <w:pageBreakBefore w:val="0"/>
        <w:widowControl/>
        <w:kinsoku/>
        <w:wordWrap/>
        <w:overflowPunct/>
        <w:topLinePunct w:val="0"/>
        <w:autoSpaceDE/>
        <w:autoSpaceDN/>
        <w:bidi w:val="0"/>
        <w:adjustRightInd/>
        <w:snapToGrid/>
        <w:spacing w:line="700" w:lineRule="exact"/>
        <w:ind w:left="1040" w:leftChars="0" w:right="0" w:rightChars="0" w:hanging="1040" w:hangingChars="200"/>
        <w:jc w:val="center"/>
        <w:textAlignment w:val="auto"/>
        <w:outlineLvl w:val="5"/>
        <w:rPr>
          <w:rFonts w:hint="eastAsia" w:ascii="宋体" w:hAnsi="宋体" w:eastAsia="宋体" w:cs="宋体"/>
          <w:color w:val="auto"/>
          <w:sz w:val="52"/>
          <w:szCs w:val="52"/>
          <w:highlight w:val="none"/>
          <w:lang w:val="en-US" w:eastAsia="zh-CN"/>
        </w:rPr>
      </w:pPr>
    </w:p>
    <w:p w14:paraId="56927CA9">
      <w:pPr>
        <w:keepNext w:val="0"/>
        <w:keepLines w:val="0"/>
        <w:pageBreakBefore w:val="0"/>
        <w:widowControl/>
        <w:kinsoku/>
        <w:wordWrap/>
        <w:overflowPunct/>
        <w:topLinePunct w:val="0"/>
        <w:autoSpaceDE/>
        <w:autoSpaceDN/>
        <w:bidi w:val="0"/>
        <w:adjustRightInd/>
        <w:snapToGrid/>
        <w:spacing w:line="240" w:lineRule="auto"/>
        <w:ind w:left="0" w:right="0" w:rightChars="0"/>
        <w:jc w:val="both"/>
        <w:textAlignment w:val="auto"/>
        <w:outlineLvl w:val="5"/>
        <w:rPr>
          <w:rFonts w:hint="eastAsia" w:ascii="宋体" w:hAnsi="宋体" w:eastAsia="宋体" w:cs="宋体"/>
          <w:color w:val="auto"/>
          <w:sz w:val="28"/>
          <w:szCs w:val="28"/>
          <w:highlight w:val="none"/>
          <w:lang w:val="en-US" w:eastAsia="zh-CN"/>
        </w:rPr>
      </w:pPr>
    </w:p>
    <w:p w14:paraId="13E0A9A5">
      <w:pPr>
        <w:keepNext w:val="0"/>
        <w:keepLines w:val="0"/>
        <w:pageBreakBefore w:val="0"/>
        <w:widowControl/>
        <w:kinsoku/>
        <w:wordWrap/>
        <w:overflowPunct/>
        <w:topLinePunct w:val="0"/>
        <w:autoSpaceDE/>
        <w:autoSpaceDN/>
        <w:bidi w:val="0"/>
        <w:adjustRightInd/>
        <w:snapToGrid/>
        <w:spacing w:line="240" w:lineRule="auto"/>
        <w:ind w:left="0" w:right="0" w:rightChars="0"/>
        <w:jc w:val="both"/>
        <w:textAlignment w:val="auto"/>
        <w:outlineLvl w:val="5"/>
        <w:rPr>
          <w:rFonts w:hint="eastAsia" w:ascii="宋体" w:hAnsi="宋体" w:eastAsia="宋体" w:cs="宋体"/>
          <w:color w:val="auto"/>
          <w:sz w:val="28"/>
          <w:szCs w:val="28"/>
          <w:highlight w:val="none"/>
          <w:lang w:val="en-US" w:eastAsia="zh-CN"/>
        </w:rPr>
      </w:pPr>
    </w:p>
    <w:p w14:paraId="5275325B">
      <w:pPr>
        <w:keepNext w:val="0"/>
        <w:keepLines w:val="0"/>
        <w:pageBreakBefore w:val="0"/>
        <w:widowControl/>
        <w:kinsoku/>
        <w:wordWrap/>
        <w:overflowPunct/>
        <w:topLinePunct w:val="0"/>
        <w:autoSpaceDE/>
        <w:autoSpaceDN/>
        <w:bidi w:val="0"/>
        <w:adjustRightInd/>
        <w:snapToGrid/>
        <w:spacing w:line="240" w:lineRule="auto"/>
        <w:ind w:left="0" w:right="0" w:rightChars="0"/>
        <w:jc w:val="both"/>
        <w:textAlignment w:val="auto"/>
        <w:outlineLvl w:val="5"/>
        <w:rPr>
          <w:rFonts w:hint="eastAsia" w:ascii="宋体" w:hAnsi="宋体" w:eastAsia="宋体" w:cs="宋体"/>
          <w:color w:val="auto"/>
          <w:sz w:val="28"/>
          <w:szCs w:val="28"/>
          <w:highlight w:val="none"/>
          <w:lang w:val="en-US" w:eastAsia="zh-CN"/>
        </w:rPr>
      </w:pPr>
    </w:p>
    <w:p w14:paraId="47DD19D8">
      <w:pPr>
        <w:keepNext w:val="0"/>
        <w:keepLines w:val="0"/>
        <w:pageBreakBefore w:val="0"/>
        <w:widowControl/>
        <w:kinsoku/>
        <w:wordWrap/>
        <w:overflowPunct/>
        <w:topLinePunct w:val="0"/>
        <w:autoSpaceDE/>
        <w:autoSpaceDN/>
        <w:bidi w:val="0"/>
        <w:adjustRightInd/>
        <w:snapToGrid/>
        <w:spacing w:line="240" w:lineRule="auto"/>
        <w:ind w:left="0" w:right="0" w:rightChars="0"/>
        <w:jc w:val="both"/>
        <w:textAlignment w:val="auto"/>
        <w:outlineLvl w:val="5"/>
        <w:rPr>
          <w:rFonts w:hint="eastAsia" w:ascii="宋体" w:hAnsi="宋体" w:eastAsia="宋体" w:cs="宋体"/>
          <w:color w:val="auto"/>
          <w:sz w:val="28"/>
          <w:szCs w:val="28"/>
          <w:highlight w:val="none"/>
          <w:lang w:val="en-US" w:eastAsia="zh-CN"/>
        </w:rPr>
      </w:pPr>
    </w:p>
    <w:p w14:paraId="0933E603">
      <w:pPr>
        <w:keepNext w:val="0"/>
        <w:keepLines w:val="0"/>
        <w:pageBreakBefore w:val="0"/>
        <w:widowControl/>
        <w:kinsoku/>
        <w:wordWrap/>
        <w:overflowPunct/>
        <w:topLinePunct w:val="0"/>
        <w:autoSpaceDE/>
        <w:autoSpaceDN/>
        <w:bidi w:val="0"/>
        <w:adjustRightInd/>
        <w:snapToGrid/>
        <w:spacing w:line="240" w:lineRule="auto"/>
        <w:ind w:left="0" w:right="0" w:rightChars="0"/>
        <w:jc w:val="both"/>
        <w:textAlignment w:val="auto"/>
        <w:outlineLvl w:val="5"/>
        <w:rPr>
          <w:rFonts w:hint="eastAsia" w:ascii="宋体" w:hAnsi="宋体" w:eastAsia="宋体" w:cs="宋体"/>
          <w:color w:val="auto"/>
          <w:sz w:val="52"/>
          <w:szCs w:val="52"/>
          <w:highlight w:val="none"/>
          <w:lang w:val="en-US" w:eastAsia="zh-CN"/>
        </w:rPr>
      </w:pPr>
      <w:r>
        <w:rPr>
          <w:rFonts w:hint="eastAsia" w:ascii="宋体" w:hAnsi="宋体" w:eastAsia="宋体" w:cs="宋体"/>
          <w:color w:val="auto"/>
          <w:sz w:val="28"/>
          <w:szCs w:val="28"/>
          <w:highlight w:val="none"/>
          <w:lang w:val="en-US" w:eastAsia="zh-CN"/>
        </w:rPr>
        <w:t>附件3</w:t>
      </w:r>
    </w:p>
    <w:p w14:paraId="15B43230">
      <w:pPr>
        <w:keepNext w:val="0"/>
        <w:keepLines w:val="0"/>
        <w:pageBreakBefore w:val="0"/>
        <w:widowControl/>
        <w:kinsoku/>
        <w:wordWrap/>
        <w:overflowPunct/>
        <w:topLinePunct w:val="0"/>
        <w:autoSpaceDE/>
        <w:autoSpaceDN/>
        <w:bidi w:val="0"/>
        <w:adjustRightInd/>
        <w:snapToGrid/>
        <w:spacing w:line="700" w:lineRule="exact"/>
        <w:ind w:left="1040" w:leftChars="0" w:right="0" w:rightChars="0" w:hanging="1040" w:hangingChars="200"/>
        <w:jc w:val="center"/>
        <w:textAlignment w:val="auto"/>
        <w:outlineLvl w:val="5"/>
        <w:rPr>
          <w:rFonts w:hint="eastAsia" w:ascii="宋体" w:hAnsi="宋体" w:eastAsia="宋体" w:cs="宋体"/>
          <w:color w:val="auto"/>
          <w:sz w:val="52"/>
          <w:szCs w:val="52"/>
          <w:highlight w:val="none"/>
          <w:lang w:val="en-US" w:eastAsia="zh-CN"/>
        </w:rPr>
      </w:pPr>
    </w:p>
    <w:p w14:paraId="1EF1367A">
      <w:pPr>
        <w:keepNext w:val="0"/>
        <w:keepLines w:val="0"/>
        <w:pageBreakBefore w:val="0"/>
        <w:widowControl/>
        <w:kinsoku/>
        <w:wordWrap/>
        <w:overflowPunct/>
        <w:topLinePunct w:val="0"/>
        <w:autoSpaceDE/>
        <w:autoSpaceDN/>
        <w:bidi w:val="0"/>
        <w:adjustRightInd/>
        <w:snapToGrid/>
        <w:spacing w:line="700" w:lineRule="exact"/>
        <w:ind w:left="1040" w:leftChars="0" w:right="0" w:rightChars="0" w:hanging="1040" w:hangingChars="200"/>
        <w:jc w:val="center"/>
        <w:textAlignment w:val="auto"/>
        <w:outlineLvl w:val="5"/>
        <w:rPr>
          <w:rFonts w:hint="eastAsia" w:ascii="宋体" w:hAnsi="宋体" w:eastAsia="宋体" w:cs="宋体"/>
          <w:color w:val="auto"/>
          <w:sz w:val="52"/>
          <w:szCs w:val="52"/>
          <w:highlight w:val="none"/>
          <w:lang w:val="en-US" w:eastAsia="zh-CN"/>
        </w:rPr>
      </w:pPr>
      <w:r>
        <w:rPr>
          <w:rFonts w:hint="eastAsia" w:ascii="宋体" w:hAnsi="宋体" w:eastAsia="宋体" w:cs="宋体"/>
          <w:color w:val="auto"/>
          <w:sz w:val="52"/>
          <w:szCs w:val="52"/>
          <w:highlight w:val="none"/>
          <w:lang w:val="en-US" w:eastAsia="zh-CN"/>
        </w:rPr>
        <w:t>成都市温江区疾病预防控制中心</w:t>
      </w:r>
    </w:p>
    <w:p w14:paraId="5AA9FD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color w:val="auto"/>
          <w:sz w:val="48"/>
          <w:szCs w:val="48"/>
          <w:highlight w:val="none"/>
          <w:lang w:val="en-US" w:eastAsia="zh-CN"/>
        </w:rPr>
      </w:pPr>
      <w:r>
        <w:rPr>
          <w:rFonts w:hint="eastAsia" w:ascii="宋体" w:hAnsi="宋体" w:eastAsia="宋体" w:cs="宋体"/>
          <w:color w:val="auto"/>
          <w:sz w:val="48"/>
          <w:szCs w:val="48"/>
          <w:highlight w:val="none"/>
          <w:lang w:val="en-US" w:eastAsia="zh-CN"/>
        </w:rPr>
        <w:t>温江区2026年病媒生物防制项目</w:t>
      </w:r>
    </w:p>
    <w:p w14:paraId="12D29BE0">
      <w:pPr>
        <w:keepNext w:val="0"/>
        <w:keepLines w:val="0"/>
        <w:pageBreakBefore w:val="0"/>
        <w:widowControl/>
        <w:kinsoku/>
        <w:wordWrap/>
        <w:overflowPunct/>
        <w:topLinePunct w:val="0"/>
        <w:autoSpaceDE/>
        <w:autoSpaceDN/>
        <w:bidi w:val="0"/>
        <w:adjustRightInd/>
        <w:snapToGrid/>
        <w:spacing w:line="1200" w:lineRule="exact"/>
        <w:ind w:right="0" w:rightChars="0"/>
        <w:jc w:val="both"/>
        <w:textAlignment w:val="auto"/>
        <w:outlineLvl w:val="5"/>
        <w:rPr>
          <w:rFonts w:hint="eastAsia" w:ascii="宋体" w:hAnsi="宋体" w:eastAsia="宋体" w:cs="宋体"/>
          <w:color w:val="auto"/>
          <w:sz w:val="96"/>
          <w:szCs w:val="96"/>
          <w:highlight w:val="none"/>
          <w:lang w:val="en-US" w:eastAsia="zh-CN"/>
        </w:rPr>
      </w:pPr>
    </w:p>
    <w:p w14:paraId="6E0AB748">
      <w:pPr>
        <w:keepNext w:val="0"/>
        <w:keepLines w:val="0"/>
        <w:pageBreakBefore w:val="0"/>
        <w:widowControl/>
        <w:kinsoku/>
        <w:wordWrap/>
        <w:overflowPunct/>
        <w:topLinePunct w:val="0"/>
        <w:autoSpaceDE/>
        <w:autoSpaceDN/>
        <w:bidi w:val="0"/>
        <w:adjustRightInd/>
        <w:snapToGrid/>
        <w:spacing w:line="1200" w:lineRule="exact"/>
        <w:ind w:left="1920" w:leftChars="0" w:right="0" w:rightChars="0" w:hanging="1920" w:hangingChars="200"/>
        <w:jc w:val="center"/>
        <w:textAlignment w:val="auto"/>
        <w:outlineLvl w:val="5"/>
        <w:rPr>
          <w:rFonts w:hint="eastAsia" w:ascii="宋体" w:hAnsi="宋体" w:eastAsia="宋体" w:cs="宋体"/>
          <w:b w:val="0"/>
          <w:bCs w:val="0"/>
          <w:color w:val="auto"/>
          <w:sz w:val="96"/>
          <w:szCs w:val="96"/>
          <w:highlight w:val="none"/>
          <w:lang w:val="en-US" w:eastAsia="zh-CN"/>
        </w:rPr>
      </w:pPr>
    </w:p>
    <w:p w14:paraId="31747A9A">
      <w:pPr>
        <w:keepNext w:val="0"/>
        <w:keepLines w:val="0"/>
        <w:pageBreakBefore w:val="0"/>
        <w:widowControl/>
        <w:kinsoku/>
        <w:wordWrap/>
        <w:overflowPunct/>
        <w:topLinePunct w:val="0"/>
        <w:autoSpaceDE/>
        <w:autoSpaceDN/>
        <w:bidi w:val="0"/>
        <w:adjustRightInd/>
        <w:snapToGrid/>
        <w:spacing w:line="1200" w:lineRule="exact"/>
        <w:ind w:left="1920" w:leftChars="0" w:right="0" w:rightChars="0" w:hanging="1920" w:hangingChars="200"/>
        <w:jc w:val="center"/>
        <w:textAlignment w:val="auto"/>
        <w:outlineLvl w:val="5"/>
        <w:rPr>
          <w:rFonts w:hint="eastAsia" w:ascii="宋体" w:hAnsi="宋体" w:eastAsia="宋体" w:cs="宋体"/>
          <w:b w:val="0"/>
          <w:bCs w:val="0"/>
          <w:color w:val="auto"/>
          <w:sz w:val="96"/>
          <w:szCs w:val="96"/>
          <w:highlight w:val="none"/>
          <w:lang w:val="en-US" w:eastAsia="zh-CN"/>
        </w:rPr>
      </w:pPr>
      <w:r>
        <w:rPr>
          <w:rFonts w:hint="eastAsia" w:ascii="宋体" w:hAnsi="宋体" w:eastAsia="宋体" w:cs="宋体"/>
          <w:b w:val="0"/>
          <w:bCs w:val="0"/>
          <w:color w:val="auto"/>
          <w:sz w:val="96"/>
          <w:szCs w:val="96"/>
          <w:highlight w:val="none"/>
          <w:lang w:val="en-US" w:eastAsia="zh-CN"/>
        </w:rPr>
        <w:t>报</w:t>
      </w:r>
    </w:p>
    <w:p w14:paraId="42A71F26">
      <w:pPr>
        <w:keepNext w:val="0"/>
        <w:keepLines w:val="0"/>
        <w:pageBreakBefore w:val="0"/>
        <w:widowControl/>
        <w:kinsoku/>
        <w:wordWrap/>
        <w:overflowPunct/>
        <w:topLinePunct w:val="0"/>
        <w:autoSpaceDE/>
        <w:autoSpaceDN/>
        <w:bidi w:val="0"/>
        <w:adjustRightInd/>
        <w:snapToGrid/>
        <w:spacing w:line="1200" w:lineRule="exact"/>
        <w:ind w:left="1920" w:leftChars="0" w:right="0" w:rightChars="0" w:hanging="1920" w:hangingChars="200"/>
        <w:jc w:val="center"/>
        <w:textAlignment w:val="auto"/>
        <w:outlineLvl w:val="5"/>
        <w:rPr>
          <w:rFonts w:hint="eastAsia" w:ascii="宋体" w:hAnsi="宋体" w:eastAsia="宋体" w:cs="宋体"/>
          <w:b w:val="0"/>
          <w:bCs w:val="0"/>
          <w:color w:val="auto"/>
          <w:sz w:val="96"/>
          <w:szCs w:val="96"/>
          <w:highlight w:val="none"/>
          <w:lang w:val="en-US" w:eastAsia="zh-CN"/>
        </w:rPr>
      </w:pPr>
      <w:r>
        <w:rPr>
          <w:rFonts w:hint="eastAsia" w:ascii="宋体" w:hAnsi="宋体" w:eastAsia="宋体" w:cs="宋体"/>
          <w:b w:val="0"/>
          <w:bCs w:val="0"/>
          <w:color w:val="auto"/>
          <w:sz w:val="96"/>
          <w:szCs w:val="96"/>
          <w:highlight w:val="none"/>
          <w:lang w:val="en-US" w:eastAsia="zh-CN"/>
        </w:rPr>
        <w:t>价</w:t>
      </w:r>
    </w:p>
    <w:p w14:paraId="1402D0FF">
      <w:pPr>
        <w:keepNext w:val="0"/>
        <w:keepLines w:val="0"/>
        <w:pageBreakBefore w:val="0"/>
        <w:widowControl/>
        <w:kinsoku/>
        <w:wordWrap/>
        <w:overflowPunct/>
        <w:topLinePunct w:val="0"/>
        <w:autoSpaceDE/>
        <w:autoSpaceDN/>
        <w:bidi w:val="0"/>
        <w:adjustRightInd/>
        <w:snapToGrid/>
        <w:spacing w:line="1200" w:lineRule="exact"/>
        <w:ind w:left="1920" w:leftChars="0" w:right="0" w:rightChars="0" w:hanging="1920" w:hangingChars="200"/>
        <w:jc w:val="center"/>
        <w:textAlignment w:val="auto"/>
        <w:outlineLvl w:val="5"/>
        <w:rPr>
          <w:rFonts w:hint="eastAsia" w:ascii="宋体" w:hAnsi="宋体" w:eastAsia="宋体" w:cs="宋体"/>
          <w:b w:val="0"/>
          <w:bCs w:val="0"/>
          <w:color w:val="auto"/>
          <w:sz w:val="96"/>
          <w:szCs w:val="96"/>
          <w:highlight w:val="none"/>
          <w:lang w:val="en-US" w:eastAsia="zh-CN"/>
        </w:rPr>
      </w:pPr>
      <w:r>
        <w:rPr>
          <w:rFonts w:hint="eastAsia" w:ascii="宋体" w:hAnsi="宋体" w:eastAsia="宋体" w:cs="宋体"/>
          <w:b w:val="0"/>
          <w:bCs w:val="0"/>
          <w:color w:val="auto"/>
          <w:sz w:val="96"/>
          <w:szCs w:val="96"/>
          <w:highlight w:val="none"/>
          <w:lang w:val="en-US" w:eastAsia="zh-CN"/>
        </w:rPr>
        <w:t>文</w:t>
      </w:r>
    </w:p>
    <w:p w14:paraId="1271C076">
      <w:pPr>
        <w:keepNext w:val="0"/>
        <w:keepLines w:val="0"/>
        <w:pageBreakBefore w:val="0"/>
        <w:widowControl/>
        <w:kinsoku/>
        <w:wordWrap/>
        <w:overflowPunct/>
        <w:topLinePunct w:val="0"/>
        <w:autoSpaceDE/>
        <w:autoSpaceDN/>
        <w:bidi w:val="0"/>
        <w:adjustRightInd/>
        <w:snapToGrid/>
        <w:spacing w:line="1200" w:lineRule="exact"/>
        <w:ind w:left="1920" w:leftChars="0" w:right="0" w:rightChars="0" w:hanging="1920" w:hangingChars="200"/>
        <w:jc w:val="center"/>
        <w:textAlignment w:val="auto"/>
        <w:outlineLvl w:val="5"/>
        <w:rPr>
          <w:rFonts w:hint="eastAsia" w:ascii="宋体" w:hAnsi="宋体" w:eastAsia="宋体" w:cs="宋体"/>
          <w:b w:val="0"/>
          <w:bCs w:val="0"/>
          <w:color w:val="auto"/>
          <w:sz w:val="96"/>
          <w:szCs w:val="96"/>
          <w:highlight w:val="none"/>
          <w:lang w:val="en-US" w:eastAsia="zh-CN"/>
        </w:rPr>
      </w:pPr>
      <w:r>
        <w:rPr>
          <w:rFonts w:hint="eastAsia" w:ascii="宋体" w:hAnsi="宋体" w:eastAsia="宋体" w:cs="宋体"/>
          <w:b w:val="0"/>
          <w:bCs w:val="0"/>
          <w:color w:val="auto"/>
          <w:sz w:val="96"/>
          <w:szCs w:val="96"/>
          <w:highlight w:val="none"/>
          <w:lang w:val="en-US" w:eastAsia="zh-CN"/>
        </w:rPr>
        <w:t>件</w:t>
      </w:r>
    </w:p>
    <w:p w14:paraId="6AA24736">
      <w:pPr>
        <w:keepNext w:val="0"/>
        <w:keepLines w:val="0"/>
        <w:pageBreakBefore w:val="0"/>
        <w:widowControl/>
        <w:kinsoku/>
        <w:wordWrap/>
        <w:overflowPunct/>
        <w:topLinePunct w:val="0"/>
        <w:autoSpaceDE/>
        <w:autoSpaceDN/>
        <w:bidi w:val="0"/>
        <w:adjustRightInd/>
        <w:snapToGrid/>
        <w:spacing w:line="1200" w:lineRule="exact"/>
        <w:ind w:left="1920" w:leftChars="0" w:right="0" w:rightChars="0" w:hanging="1920" w:hangingChars="200"/>
        <w:jc w:val="center"/>
        <w:textAlignment w:val="auto"/>
        <w:outlineLvl w:val="5"/>
        <w:rPr>
          <w:rFonts w:hint="eastAsia" w:ascii="宋体" w:hAnsi="宋体" w:eastAsia="宋体" w:cs="宋体"/>
          <w:color w:val="auto"/>
          <w:sz w:val="96"/>
          <w:szCs w:val="96"/>
          <w:highlight w:val="none"/>
          <w:lang w:val="en-US" w:eastAsia="zh-CN"/>
        </w:rPr>
      </w:pPr>
    </w:p>
    <w:p w14:paraId="517A7411">
      <w:pPr>
        <w:keepNext w:val="0"/>
        <w:keepLines w:val="0"/>
        <w:pageBreakBefore w:val="0"/>
        <w:widowControl/>
        <w:kinsoku/>
        <w:wordWrap/>
        <w:overflowPunct/>
        <w:topLinePunct w:val="0"/>
        <w:autoSpaceDE/>
        <w:autoSpaceDN/>
        <w:bidi w:val="0"/>
        <w:adjustRightInd/>
        <w:snapToGrid/>
        <w:spacing w:line="1200" w:lineRule="exact"/>
        <w:ind w:right="0" w:rightChars="0"/>
        <w:jc w:val="both"/>
        <w:textAlignment w:val="auto"/>
        <w:outlineLvl w:val="5"/>
        <w:rPr>
          <w:rFonts w:hint="eastAsia" w:ascii="宋体" w:hAnsi="宋体" w:eastAsia="宋体" w:cs="宋体"/>
          <w:color w:val="auto"/>
          <w:sz w:val="96"/>
          <w:szCs w:val="96"/>
          <w:highlight w:val="none"/>
          <w:lang w:val="en-US" w:eastAsia="zh-CN"/>
        </w:rPr>
      </w:pPr>
    </w:p>
    <w:p w14:paraId="3A178110">
      <w:pPr>
        <w:keepNext w:val="0"/>
        <w:keepLines w:val="0"/>
        <w:pageBreakBefore w:val="0"/>
        <w:widowControl/>
        <w:kinsoku/>
        <w:wordWrap/>
        <w:overflowPunct/>
        <w:topLinePunct w:val="0"/>
        <w:autoSpaceDE/>
        <w:autoSpaceDN/>
        <w:bidi w:val="0"/>
        <w:adjustRightInd/>
        <w:snapToGrid/>
        <w:spacing w:line="700" w:lineRule="exact"/>
        <w:ind w:left="0" w:right="0" w:rightChars="0"/>
        <w:jc w:val="center"/>
        <w:textAlignment w:val="auto"/>
        <w:outlineLvl w:val="5"/>
        <w:rPr>
          <w:rFonts w:hint="default"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参选人名称：  XXX     (加盖公章）</w:t>
      </w:r>
    </w:p>
    <w:p w14:paraId="1811D8CF">
      <w:pPr>
        <w:keepNext w:val="0"/>
        <w:keepLines w:val="0"/>
        <w:pageBreakBefore w:val="0"/>
        <w:widowControl/>
        <w:kinsoku/>
        <w:wordWrap/>
        <w:overflowPunct/>
        <w:topLinePunct w:val="0"/>
        <w:autoSpaceDE/>
        <w:autoSpaceDN/>
        <w:bidi w:val="0"/>
        <w:adjustRightInd/>
        <w:snapToGrid/>
        <w:spacing w:line="700" w:lineRule="exact"/>
        <w:ind w:left="0" w:right="0" w:rightChars="0"/>
        <w:jc w:val="center"/>
        <w:textAlignment w:val="auto"/>
        <w:outlineLvl w:val="5"/>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2026年XX月XX日</w:t>
      </w:r>
    </w:p>
    <w:p w14:paraId="57F2B96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一、报价表</w:t>
      </w:r>
    </w:p>
    <w:p w14:paraId="33DD8ACD">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right="0" w:rightChars="0" w:firstLine="840" w:firstLineChars="300"/>
        <w:jc w:val="both"/>
        <w:textAlignment w:val="auto"/>
        <w:outlineLvl w:val="5"/>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项目名称：温江区2026年病媒生物防制项目</w:t>
      </w:r>
    </w:p>
    <w:tbl>
      <w:tblPr>
        <w:tblStyle w:val="9"/>
        <w:tblpPr w:leftFromText="180" w:rightFromText="180" w:vertAnchor="text" w:horzAnchor="page" w:tblpX="1054" w:tblpY="496"/>
        <w:tblOverlap w:val="never"/>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25"/>
        <w:gridCol w:w="5130"/>
        <w:gridCol w:w="1680"/>
        <w:gridCol w:w="1019"/>
      </w:tblGrid>
      <w:tr w14:paraId="4A14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6955" w:type="dxa"/>
            <w:gridSpan w:val="2"/>
            <w:noWrap w:val="0"/>
            <w:tcMar>
              <w:top w:w="15" w:type="dxa"/>
              <w:left w:w="15" w:type="dxa"/>
              <w:right w:w="15" w:type="dxa"/>
            </w:tcMar>
            <w:vAlign w:val="center"/>
          </w:tcPr>
          <w:p w14:paraId="5A75CE80">
            <w:pPr>
              <w:keepNext w:val="0"/>
              <w:keepLines w:val="0"/>
              <w:widowControl/>
              <w:suppressLineNumbers w:val="0"/>
              <w:spacing w:line="360" w:lineRule="auto"/>
              <w:jc w:val="center"/>
              <w:textAlignment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服务要求</w:t>
            </w:r>
            <w:r>
              <w:rPr>
                <w:rFonts w:hint="eastAsia" w:ascii="宋体" w:hAnsi="宋体" w:eastAsia="宋体" w:cs="宋体"/>
                <w:b w:val="0"/>
                <w:bCs w:val="0"/>
                <w:color w:val="auto"/>
                <w:sz w:val="28"/>
                <w:szCs w:val="28"/>
                <w:highlight w:val="none"/>
                <w:lang w:val="en-US" w:eastAsia="zh-CN"/>
              </w:rPr>
              <w:t>（实质性要求）</w:t>
            </w:r>
          </w:p>
        </w:tc>
        <w:tc>
          <w:tcPr>
            <w:tcW w:w="1680" w:type="dxa"/>
            <w:noWrap w:val="0"/>
            <w:tcMar>
              <w:top w:w="15" w:type="dxa"/>
              <w:left w:w="15" w:type="dxa"/>
              <w:right w:w="15" w:type="dxa"/>
            </w:tcMar>
            <w:vAlign w:val="center"/>
          </w:tcPr>
          <w:p w14:paraId="1594D2A8">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4"/>
                <w:szCs w:val="24"/>
                <w:u w:val="none"/>
                <w:lang w:val="en-US" w:eastAsia="zh-CN" w:bidi="ar"/>
              </w:rPr>
              <w:t>总价（元）</w:t>
            </w:r>
          </w:p>
        </w:tc>
        <w:tc>
          <w:tcPr>
            <w:tcW w:w="1019" w:type="dxa"/>
            <w:noWrap w:val="0"/>
            <w:tcMar>
              <w:top w:w="15" w:type="dxa"/>
              <w:left w:w="15" w:type="dxa"/>
              <w:right w:w="15" w:type="dxa"/>
            </w:tcMar>
            <w:vAlign w:val="center"/>
          </w:tcPr>
          <w:p w14:paraId="35D1DD9D">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0339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trPr>
        <w:tc>
          <w:tcPr>
            <w:tcW w:w="1825" w:type="dxa"/>
            <w:noWrap w:val="0"/>
            <w:tcMar>
              <w:top w:w="15" w:type="dxa"/>
              <w:left w:w="15" w:type="dxa"/>
              <w:right w:w="15" w:type="dxa"/>
            </w:tcMar>
            <w:vAlign w:val="center"/>
          </w:tcPr>
          <w:p w14:paraId="58FAE921">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服务时限</w:t>
            </w:r>
          </w:p>
        </w:tc>
        <w:tc>
          <w:tcPr>
            <w:tcW w:w="5130" w:type="dxa"/>
            <w:noWrap w:val="0"/>
            <w:tcMar>
              <w:top w:w="15" w:type="dxa"/>
              <w:left w:w="15" w:type="dxa"/>
              <w:right w:w="15" w:type="dxa"/>
            </w:tcMar>
            <w:vAlign w:val="center"/>
          </w:tcPr>
          <w:p w14:paraId="57DA749F">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2026年4月-2026年12月</w:t>
            </w:r>
          </w:p>
        </w:tc>
        <w:tc>
          <w:tcPr>
            <w:tcW w:w="1680" w:type="dxa"/>
            <w:vMerge w:val="restart"/>
            <w:noWrap w:val="0"/>
            <w:tcMar>
              <w:top w:w="15" w:type="dxa"/>
              <w:left w:w="15" w:type="dxa"/>
              <w:right w:w="15" w:type="dxa"/>
            </w:tcMar>
            <w:vAlign w:val="center"/>
          </w:tcPr>
          <w:p w14:paraId="105E96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sz w:val="21"/>
                <w:szCs w:val="21"/>
                <w:lang w:val="en-US" w:eastAsia="zh-CN"/>
              </w:rPr>
            </w:pPr>
          </w:p>
        </w:tc>
        <w:tc>
          <w:tcPr>
            <w:tcW w:w="1019" w:type="dxa"/>
            <w:vMerge w:val="restart"/>
            <w:noWrap w:val="0"/>
            <w:tcMar>
              <w:top w:w="15" w:type="dxa"/>
              <w:left w:w="15" w:type="dxa"/>
              <w:right w:w="15" w:type="dxa"/>
            </w:tcMar>
            <w:vAlign w:val="center"/>
          </w:tcPr>
          <w:p w14:paraId="6293D1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仿宋" w:cs="仿宋"/>
                <w:sz w:val="21"/>
                <w:szCs w:val="21"/>
                <w:lang w:val="en-US" w:eastAsia="zh-CN"/>
              </w:rPr>
            </w:pPr>
          </w:p>
        </w:tc>
      </w:tr>
      <w:tr w14:paraId="0426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trPr>
        <w:tc>
          <w:tcPr>
            <w:tcW w:w="1825" w:type="dxa"/>
            <w:noWrap w:val="0"/>
            <w:tcMar>
              <w:top w:w="15" w:type="dxa"/>
              <w:left w:w="15" w:type="dxa"/>
              <w:right w:w="15" w:type="dxa"/>
            </w:tcMar>
            <w:vAlign w:val="center"/>
          </w:tcPr>
          <w:p w14:paraId="446BF7B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服务范围</w:t>
            </w:r>
          </w:p>
        </w:tc>
        <w:tc>
          <w:tcPr>
            <w:tcW w:w="5130" w:type="dxa"/>
            <w:noWrap w:val="0"/>
            <w:tcMar>
              <w:top w:w="15" w:type="dxa"/>
              <w:left w:w="15" w:type="dxa"/>
              <w:right w:w="15" w:type="dxa"/>
            </w:tcMar>
            <w:vAlign w:val="center"/>
          </w:tcPr>
          <w:p w14:paraId="032294E0">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温江区范围内的农贸市场、党政机关单位等内外环境。</w:t>
            </w:r>
          </w:p>
        </w:tc>
        <w:tc>
          <w:tcPr>
            <w:tcW w:w="1680" w:type="dxa"/>
            <w:vMerge w:val="continue"/>
            <w:noWrap w:val="0"/>
            <w:tcMar>
              <w:top w:w="15" w:type="dxa"/>
              <w:left w:w="15" w:type="dxa"/>
              <w:right w:w="15" w:type="dxa"/>
            </w:tcMar>
            <w:vAlign w:val="center"/>
          </w:tcPr>
          <w:p w14:paraId="645567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sz w:val="21"/>
                <w:szCs w:val="21"/>
                <w:lang w:val="en-US" w:eastAsia="zh-CN"/>
              </w:rPr>
            </w:pPr>
          </w:p>
        </w:tc>
        <w:tc>
          <w:tcPr>
            <w:tcW w:w="1019" w:type="dxa"/>
            <w:vMerge w:val="continue"/>
            <w:noWrap w:val="0"/>
            <w:tcMar>
              <w:top w:w="15" w:type="dxa"/>
              <w:left w:w="15" w:type="dxa"/>
              <w:right w:w="15" w:type="dxa"/>
            </w:tcMar>
            <w:vAlign w:val="center"/>
          </w:tcPr>
          <w:p w14:paraId="519CBB0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sz w:val="21"/>
                <w:szCs w:val="21"/>
                <w:lang w:val="en-US" w:eastAsia="zh-CN"/>
              </w:rPr>
            </w:pPr>
          </w:p>
        </w:tc>
      </w:tr>
      <w:tr w14:paraId="33D3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trPr>
        <w:tc>
          <w:tcPr>
            <w:tcW w:w="1825" w:type="dxa"/>
            <w:noWrap w:val="0"/>
            <w:tcMar>
              <w:top w:w="15" w:type="dxa"/>
              <w:left w:w="15" w:type="dxa"/>
              <w:right w:w="15" w:type="dxa"/>
            </w:tcMar>
            <w:vAlign w:val="center"/>
          </w:tcPr>
          <w:p w14:paraId="6A9E305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服务内容</w:t>
            </w:r>
          </w:p>
        </w:tc>
        <w:tc>
          <w:tcPr>
            <w:tcW w:w="5130" w:type="dxa"/>
            <w:noWrap w:val="0"/>
            <w:tcMar>
              <w:top w:w="15" w:type="dxa"/>
              <w:left w:w="15" w:type="dxa"/>
              <w:right w:w="15" w:type="dxa"/>
            </w:tcMar>
            <w:vAlign w:val="center"/>
          </w:tcPr>
          <w:p w14:paraId="47F74B1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蚊、蝇、鼠、蟑等病媒生物综合防制、定期监测、定向消杀。</w:t>
            </w:r>
          </w:p>
        </w:tc>
        <w:tc>
          <w:tcPr>
            <w:tcW w:w="1680" w:type="dxa"/>
            <w:vMerge w:val="continue"/>
            <w:noWrap w:val="0"/>
            <w:tcMar>
              <w:top w:w="15" w:type="dxa"/>
              <w:left w:w="15" w:type="dxa"/>
              <w:right w:w="15" w:type="dxa"/>
            </w:tcMar>
            <w:vAlign w:val="center"/>
          </w:tcPr>
          <w:p w14:paraId="0023433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sz w:val="21"/>
                <w:szCs w:val="21"/>
                <w:lang w:val="en-US" w:eastAsia="zh-CN"/>
              </w:rPr>
            </w:pPr>
          </w:p>
        </w:tc>
        <w:tc>
          <w:tcPr>
            <w:tcW w:w="1019" w:type="dxa"/>
            <w:vMerge w:val="continue"/>
            <w:noWrap w:val="0"/>
            <w:tcMar>
              <w:top w:w="15" w:type="dxa"/>
              <w:left w:w="15" w:type="dxa"/>
              <w:right w:w="15" w:type="dxa"/>
            </w:tcMar>
            <w:vAlign w:val="center"/>
          </w:tcPr>
          <w:p w14:paraId="50BC9F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sz w:val="21"/>
                <w:szCs w:val="21"/>
                <w:lang w:val="en-US" w:eastAsia="zh-CN"/>
              </w:rPr>
            </w:pPr>
          </w:p>
        </w:tc>
      </w:tr>
      <w:tr w14:paraId="3535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3" w:hRule="atLeast"/>
        </w:trPr>
        <w:tc>
          <w:tcPr>
            <w:tcW w:w="1825" w:type="dxa"/>
            <w:noWrap w:val="0"/>
            <w:tcMar>
              <w:top w:w="15" w:type="dxa"/>
              <w:left w:w="15" w:type="dxa"/>
              <w:right w:w="15" w:type="dxa"/>
            </w:tcMar>
            <w:vAlign w:val="center"/>
          </w:tcPr>
          <w:p w14:paraId="4A2774D9">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服务频次</w:t>
            </w:r>
          </w:p>
        </w:tc>
        <w:tc>
          <w:tcPr>
            <w:tcW w:w="5130" w:type="dxa"/>
            <w:noWrap w:val="0"/>
            <w:tcMar>
              <w:top w:w="15" w:type="dxa"/>
              <w:left w:w="15" w:type="dxa"/>
              <w:right w:w="15" w:type="dxa"/>
            </w:tcMar>
            <w:vAlign w:val="center"/>
          </w:tcPr>
          <w:p w14:paraId="376A6B5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灭鼠：10月全市集中灭鼠期间开展一次全面集中灭鼠活动，常规每季度开展1次集中灭鼠，至少开展4次集中灭鼠行动。</w:t>
            </w:r>
          </w:p>
          <w:p w14:paraId="65904D2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4"/>
                <w:szCs w:val="32"/>
                <w:lang w:val="en-US" w:eastAsia="zh-CN"/>
              </w:rPr>
            </w:pPr>
          </w:p>
          <w:p w14:paraId="0820013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灭蚊蝇：每季度开展1次，采用喷洒法，对农贸市场、党政机关单位及外环境绿化带等地内外环境进行全覆盖消杀。</w:t>
            </w:r>
          </w:p>
          <w:p w14:paraId="6610B1D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4"/>
                <w:szCs w:val="32"/>
                <w:lang w:val="en-US" w:eastAsia="zh-CN"/>
              </w:rPr>
            </w:pPr>
          </w:p>
          <w:p w14:paraId="724E3F7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灭蟑螂：每季度开展1次，集中采用药物喷洒和毒饵法对农贸市场、党政机关等蟑螂重点孳生场所进行统一的灭蟑消杀，并对公共外环境的下水道用灭蟑热雾剂进行热烟雾处理。</w:t>
            </w:r>
          </w:p>
          <w:p w14:paraId="33AD6F84">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sz w:val="24"/>
                <w:szCs w:val="32"/>
                <w:lang w:val="en-US" w:eastAsia="zh-CN"/>
              </w:rPr>
            </w:pPr>
          </w:p>
          <w:p w14:paraId="106B698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同时每月抽取10%的点位（向上取整）进行四害密度监测，根据监测结果进行定向消杀。</w:t>
            </w:r>
          </w:p>
          <w:p w14:paraId="74BB01B0">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cs="宋体"/>
                <w:b w:val="0"/>
                <w:bCs w:val="0"/>
                <w:sz w:val="24"/>
                <w:szCs w:val="32"/>
                <w:lang w:val="en-US" w:eastAsia="zh-CN"/>
              </w:rPr>
            </w:pPr>
          </w:p>
        </w:tc>
        <w:tc>
          <w:tcPr>
            <w:tcW w:w="1680" w:type="dxa"/>
            <w:vMerge w:val="continue"/>
            <w:noWrap w:val="0"/>
            <w:tcMar>
              <w:top w:w="15" w:type="dxa"/>
              <w:left w:w="15" w:type="dxa"/>
              <w:right w:w="15" w:type="dxa"/>
            </w:tcMar>
            <w:vAlign w:val="center"/>
          </w:tcPr>
          <w:p w14:paraId="228257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 w:hAnsi="仿宋" w:eastAsia="仿宋" w:cs="仿宋"/>
                <w:sz w:val="24"/>
                <w:szCs w:val="24"/>
                <w:lang w:val="en-US" w:eastAsia="zh-CN"/>
              </w:rPr>
            </w:pPr>
          </w:p>
        </w:tc>
        <w:tc>
          <w:tcPr>
            <w:tcW w:w="1019" w:type="dxa"/>
            <w:vMerge w:val="continue"/>
            <w:noWrap w:val="0"/>
            <w:tcMar>
              <w:top w:w="15" w:type="dxa"/>
              <w:left w:w="15" w:type="dxa"/>
              <w:right w:w="15" w:type="dxa"/>
            </w:tcMar>
            <w:vAlign w:val="center"/>
          </w:tcPr>
          <w:p w14:paraId="21EB875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 w:hAnsi="仿宋" w:eastAsia="仿宋" w:cs="仿宋"/>
                <w:sz w:val="24"/>
                <w:szCs w:val="24"/>
                <w:lang w:val="en-US" w:eastAsia="zh-CN"/>
              </w:rPr>
            </w:pPr>
          </w:p>
        </w:tc>
      </w:tr>
      <w:tr w14:paraId="4FDC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rPr>
        <w:tc>
          <w:tcPr>
            <w:tcW w:w="1825" w:type="dxa"/>
            <w:noWrap w:val="0"/>
            <w:tcMar>
              <w:top w:w="15" w:type="dxa"/>
              <w:left w:w="15" w:type="dxa"/>
              <w:right w:w="15" w:type="dxa"/>
            </w:tcMar>
            <w:vAlign w:val="center"/>
          </w:tcPr>
          <w:p w14:paraId="17A1CE67">
            <w:pPr>
              <w:keepNext w:val="0"/>
              <w:keepLines w:val="0"/>
              <w:widowControl/>
              <w:suppressLineNumbers w:val="0"/>
              <w:jc w:val="center"/>
              <w:textAlignment w:val="center"/>
              <w:rPr>
                <w:rFonts w:hint="default" w:ascii="仿宋" w:hAnsi="仿宋" w:eastAsia="仿宋" w:cs="仿宋"/>
                <w:sz w:val="21"/>
                <w:szCs w:val="21"/>
                <w:lang w:val="en-US" w:eastAsia="zh-CN"/>
              </w:rPr>
            </w:pPr>
            <w:r>
              <w:rPr>
                <w:rFonts w:hint="eastAsia" w:ascii="宋体" w:hAnsi="宋体" w:eastAsia="宋体" w:cs="宋体"/>
                <w:i w:val="0"/>
                <w:iCs w:val="0"/>
                <w:color w:val="000000"/>
                <w:kern w:val="0"/>
                <w:sz w:val="24"/>
                <w:szCs w:val="24"/>
                <w:u w:val="none"/>
                <w:lang w:val="en-US" w:eastAsia="zh-CN" w:bidi="ar"/>
              </w:rPr>
              <w:t xml:space="preserve">报价合计 </w:t>
            </w:r>
          </w:p>
        </w:tc>
        <w:tc>
          <w:tcPr>
            <w:tcW w:w="7829" w:type="dxa"/>
            <w:gridSpan w:val="3"/>
            <w:noWrap w:val="0"/>
            <w:tcMar>
              <w:top w:w="15" w:type="dxa"/>
              <w:left w:w="15" w:type="dxa"/>
              <w:right w:w="15" w:type="dxa"/>
            </w:tcMar>
            <w:vAlign w:val="center"/>
          </w:tcPr>
          <w:p w14:paraId="22C77532">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小写：人民币</w:t>
            </w:r>
          </w:p>
          <w:p w14:paraId="482E54A9">
            <w:pPr>
              <w:keepNext w:val="0"/>
              <w:keepLines w:val="0"/>
              <w:widowControl/>
              <w:suppressLineNumbers w:val="0"/>
              <w:jc w:val="both"/>
              <w:textAlignment w:val="center"/>
              <w:rPr>
                <w:rFonts w:hint="eastAsia" w:ascii="仿宋" w:hAnsi="仿宋" w:eastAsia="仿宋" w:cs="仿宋"/>
                <w:sz w:val="21"/>
                <w:szCs w:val="21"/>
                <w:lang w:val="en-US" w:eastAsia="zh-CN"/>
              </w:rPr>
            </w:pPr>
            <w:r>
              <w:rPr>
                <w:rFonts w:hint="eastAsia" w:ascii="宋体" w:hAnsi="宋体" w:eastAsia="宋体" w:cs="宋体"/>
                <w:i w:val="0"/>
                <w:iCs w:val="0"/>
                <w:color w:val="000000"/>
                <w:kern w:val="0"/>
                <w:sz w:val="24"/>
                <w:szCs w:val="24"/>
                <w:u w:val="none"/>
                <w:lang w:val="en-US" w:eastAsia="zh-CN" w:bidi="ar"/>
              </w:rPr>
              <w:t>大写：人民币</w:t>
            </w:r>
          </w:p>
        </w:tc>
      </w:tr>
      <w:tr w14:paraId="1643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rPr>
        <w:tc>
          <w:tcPr>
            <w:tcW w:w="9654" w:type="dxa"/>
            <w:gridSpan w:val="4"/>
            <w:noWrap w:val="0"/>
            <w:tcMar>
              <w:top w:w="15" w:type="dxa"/>
              <w:left w:w="15" w:type="dxa"/>
              <w:right w:w="15" w:type="dxa"/>
            </w:tcMar>
            <w:vAlign w:val="center"/>
          </w:tcPr>
          <w:p w14:paraId="0E36FF0A">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val="0"/>
                <w:bCs w:val="0"/>
                <w:sz w:val="24"/>
                <w:szCs w:val="32"/>
              </w:rPr>
              <w:t>注：1</w:t>
            </w:r>
            <w:r>
              <w:rPr>
                <w:rFonts w:hint="eastAsia" w:ascii="宋体" w:hAnsi="宋体" w:eastAsia="宋体" w:cs="宋体"/>
                <w:b w:val="0"/>
                <w:bCs w:val="0"/>
                <w:sz w:val="24"/>
                <w:szCs w:val="32"/>
                <w:lang w:val="en-US" w:eastAsia="zh-CN"/>
              </w:rPr>
              <w:t>.</w:t>
            </w:r>
            <w:r>
              <w:rPr>
                <w:rFonts w:hint="eastAsia" w:ascii="宋体" w:hAnsi="宋体" w:eastAsia="宋体" w:cs="宋体"/>
                <w:b w:val="0"/>
                <w:bCs w:val="0"/>
                <w:sz w:val="24"/>
                <w:szCs w:val="32"/>
              </w:rPr>
              <w:t>以人民币报价。报价包含管理费、人工费、税金等履约过程涉及的所有费用</w:t>
            </w:r>
            <w:r>
              <w:rPr>
                <w:rFonts w:hint="eastAsia" w:ascii="宋体" w:hAnsi="宋体" w:eastAsia="宋体" w:cs="宋体"/>
                <w:b w:val="0"/>
                <w:bCs w:val="0"/>
                <w:sz w:val="24"/>
                <w:szCs w:val="32"/>
                <w:lang w:eastAsia="zh-CN"/>
              </w:rPr>
              <w:t>，</w:t>
            </w:r>
            <w:r>
              <w:rPr>
                <w:rFonts w:hint="eastAsia" w:ascii="宋体" w:hAnsi="宋体" w:eastAsia="宋体" w:cs="宋体"/>
                <w:b w:val="0"/>
                <w:bCs w:val="0"/>
                <w:sz w:val="24"/>
                <w:szCs w:val="32"/>
                <w:lang w:val="en-US" w:eastAsia="zh-CN"/>
              </w:rPr>
              <w:t>报价合计高于项目最高限价，为无效报价。</w:t>
            </w:r>
          </w:p>
        </w:tc>
      </w:tr>
    </w:tbl>
    <w:p w14:paraId="3489078E">
      <w:pPr>
        <w:jc w:val="right"/>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参选人名称：  XXX   (加盖公章）</w:t>
      </w:r>
    </w:p>
    <w:p w14:paraId="22622736">
      <w:pPr>
        <w:ind w:firstLine="6440" w:firstLineChars="230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2026年XX月XX日</w:t>
      </w:r>
    </w:p>
    <w:p w14:paraId="72905162">
      <w:pPr>
        <w:numPr>
          <w:ilvl w:val="0"/>
          <w:numId w:val="0"/>
        </w:numPr>
        <w:jc w:val="center"/>
        <w:rPr>
          <w:rFonts w:hint="eastAsia" w:ascii="宋体" w:hAnsi="宋体" w:eastAsia="宋体" w:cs="宋体"/>
          <w:color w:val="auto"/>
          <w:kern w:val="0"/>
          <w:sz w:val="32"/>
          <w:szCs w:val="32"/>
          <w:lang w:val="en-US" w:eastAsia="zh-CN" w:bidi="ar"/>
        </w:rPr>
      </w:pPr>
    </w:p>
    <w:p w14:paraId="03A31138">
      <w:pPr>
        <w:numPr>
          <w:ilvl w:val="0"/>
          <w:numId w:val="0"/>
        </w:numPr>
        <w:jc w:val="center"/>
        <w:rPr>
          <w:rFonts w:hint="eastAsia" w:ascii="宋体" w:hAnsi="宋体" w:eastAsia="宋体" w:cs="宋体"/>
          <w:color w:val="auto"/>
          <w:kern w:val="0"/>
          <w:sz w:val="32"/>
          <w:szCs w:val="32"/>
          <w:highlight w:val="none"/>
          <w:lang w:val="en-US" w:eastAsia="zh-CN" w:bidi="ar"/>
        </w:rPr>
      </w:pPr>
      <w:bookmarkStart w:id="0" w:name="_GoBack"/>
      <w:bookmarkEnd w:id="0"/>
      <w:r>
        <w:rPr>
          <w:rFonts w:hint="eastAsia" w:ascii="宋体" w:hAnsi="宋体" w:eastAsia="宋体" w:cs="宋体"/>
          <w:color w:val="auto"/>
          <w:kern w:val="0"/>
          <w:sz w:val="32"/>
          <w:szCs w:val="32"/>
          <w:lang w:val="en-US" w:eastAsia="zh-CN" w:bidi="ar"/>
        </w:rPr>
        <w:t>二、</w:t>
      </w:r>
      <w:r>
        <w:rPr>
          <w:rFonts w:hint="eastAsia" w:ascii="宋体" w:hAnsi="宋体" w:eastAsia="宋体" w:cs="宋体"/>
          <w:color w:val="auto"/>
          <w:kern w:val="0"/>
          <w:sz w:val="32"/>
          <w:szCs w:val="32"/>
          <w:highlight w:val="none"/>
          <w:lang w:val="en-US" w:eastAsia="zh-CN" w:bidi="ar"/>
        </w:rPr>
        <w:t>具有独立承担民事责任的能力</w:t>
      </w:r>
    </w:p>
    <w:p w14:paraId="3BE8B821">
      <w:pPr>
        <w:numPr>
          <w:ilvl w:val="0"/>
          <w:numId w:val="0"/>
        </w:numPr>
        <w:rPr>
          <w:rFonts w:hint="eastAsia" w:asciiTheme="minorEastAsia" w:hAnsiTheme="minorEastAsia" w:eastAsiaTheme="minorEastAsia" w:cstheme="minorEastAsia"/>
          <w:bCs/>
          <w:color w:val="auto"/>
          <w:szCs w:val="21"/>
          <w:highlight w:val="none"/>
        </w:rPr>
      </w:pPr>
    </w:p>
    <w:p w14:paraId="1BEA1E21">
      <w:pPr>
        <w:numPr>
          <w:ilvl w:val="0"/>
          <w:numId w:val="0"/>
        </w:numPr>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注：①</w:t>
      </w:r>
      <w:r>
        <w:rPr>
          <w:rFonts w:hint="eastAsia" w:asciiTheme="minorEastAsia" w:hAnsiTheme="minorEastAsia" w:eastAsiaTheme="minorEastAsia" w:cstheme="minorEastAsia"/>
          <w:bCs/>
          <w:color w:val="auto"/>
          <w:szCs w:val="21"/>
          <w:highlight w:val="none"/>
          <w:lang w:eastAsia="zh-CN"/>
        </w:rPr>
        <w:t>参选人</w:t>
      </w:r>
      <w:r>
        <w:rPr>
          <w:rFonts w:hint="eastAsia" w:asciiTheme="minorEastAsia" w:hAnsiTheme="minorEastAsia" w:eastAsiaTheme="minorEastAsia" w:cstheme="minorEastAsia"/>
          <w:bCs/>
          <w:color w:val="auto"/>
          <w:szCs w:val="21"/>
          <w:highlight w:val="none"/>
        </w:rPr>
        <w:t>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w:t>
      </w:r>
      <w:r>
        <w:rPr>
          <w:rFonts w:hint="eastAsia" w:asciiTheme="minorEastAsia" w:hAnsiTheme="minorEastAsia" w:eastAsiaTheme="minorEastAsia" w:cstheme="minorEastAsia"/>
          <w:bCs/>
          <w:color w:val="auto"/>
          <w:szCs w:val="21"/>
          <w:highlight w:val="none"/>
          <w:lang w:eastAsia="zh-CN"/>
        </w:rPr>
        <w:t>资料</w:t>
      </w:r>
      <w:r>
        <w:rPr>
          <w:rFonts w:hint="eastAsia" w:asciiTheme="minorEastAsia" w:hAnsiTheme="minorEastAsia" w:eastAsiaTheme="minorEastAsia" w:cstheme="minorEastAsia"/>
          <w:bCs/>
          <w:color w:val="auto"/>
          <w:szCs w:val="21"/>
          <w:highlight w:val="none"/>
        </w:rPr>
        <w:t>”。</w:t>
      </w:r>
    </w:p>
    <w:p w14:paraId="22F792DF">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1FF89C52">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76F4D357">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3134A5F6">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65D72F6A">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4BE09B34">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51F516EE">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25E9AF16">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3E3D7FDD">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19E78437">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42D9B1FB">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799FE196">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713F2C04">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4A5B7EDC">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1BDA14DA">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578C705F">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6FBB847D">
      <w:pPr>
        <w:keepNext w:val="0"/>
        <w:keepLines w:val="0"/>
        <w:widowControl/>
        <w:suppressLineNumbers w:val="0"/>
        <w:shd w:val="clear" w:fill="FFFFFF"/>
        <w:ind w:left="0" w:firstLine="0"/>
        <w:jc w:val="left"/>
        <w:rPr>
          <w:rFonts w:hint="eastAsia" w:ascii="宋体" w:hAnsi="宋体" w:eastAsia="宋体" w:cs="宋体"/>
          <w:color w:val="auto"/>
          <w:kern w:val="0"/>
          <w:sz w:val="32"/>
          <w:szCs w:val="32"/>
          <w:highlight w:val="none"/>
          <w:lang w:val="en-US" w:eastAsia="zh-CN" w:bidi="ar"/>
        </w:rPr>
      </w:pPr>
    </w:p>
    <w:p w14:paraId="7F9B1BC3">
      <w:pPr>
        <w:pStyle w:val="3"/>
        <w:rPr>
          <w:rFonts w:hint="eastAsia" w:ascii="宋体" w:hAnsi="宋体" w:eastAsia="宋体" w:cs="宋体"/>
          <w:color w:val="auto"/>
          <w:kern w:val="0"/>
          <w:sz w:val="32"/>
          <w:szCs w:val="32"/>
          <w:highlight w:val="none"/>
          <w:lang w:val="en-US" w:eastAsia="zh-CN" w:bidi="ar"/>
        </w:rPr>
      </w:pPr>
    </w:p>
    <w:p w14:paraId="5100CABE">
      <w:pPr>
        <w:pStyle w:val="4"/>
        <w:rPr>
          <w:rFonts w:hint="eastAsia"/>
          <w:lang w:val="en-US" w:eastAsia="zh-CN"/>
        </w:rPr>
      </w:pPr>
    </w:p>
    <w:p w14:paraId="00318A67">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lang w:val="en-US" w:eastAsia="zh-CN" w:bidi="ar"/>
        </w:rPr>
        <w:t>三、</w:t>
      </w:r>
      <w:r>
        <w:rPr>
          <w:rFonts w:hint="eastAsia" w:ascii="宋体" w:hAnsi="宋体" w:eastAsia="宋体" w:cs="宋体"/>
          <w:color w:val="auto"/>
          <w:kern w:val="0"/>
          <w:sz w:val="32"/>
          <w:szCs w:val="32"/>
          <w:highlight w:val="none"/>
          <w:lang w:val="en-US" w:eastAsia="zh-CN" w:bidi="ar"/>
        </w:rPr>
        <w:t>具有良好的商业信誉和健全的财务会计制度</w:t>
      </w:r>
    </w:p>
    <w:p w14:paraId="035C162F">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注：①提供202</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年度</w:t>
      </w:r>
      <w:r>
        <w:rPr>
          <w:rFonts w:hint="eastAsia" w:asciiTheme="minorEastAsia" w:hAnsiTheme="minorEastAsia" w:cstheme="minorEastAsia"/>
          <w:color w:val="auto"/>
          <w:highlight w:val="none"/>
          <w:lang w:val="en-US" w:eastAsia="zh-CN"/>
        </w:rPr>
        <w:t>或2025年度</w:t>
      </w:r>
      <w:r>
        <w:rPr>
          <w:rFonts w:hint="eastAsia" w:asciiTheme="minorEastAsia" w:hAnsiTheme="minorEastAsia" w:eastAsiaTheme="minorEastAsia" w:cstheme="minorEastAsia"/>
          <w:color w:val="auto"/>
          <w:highlight w:val="none"/>
        </w:rPr>
        <w:t>经审计的财务报告复印件（包含审计报告和审计报告中所涉及的财务报表和报表附注），②提供202</w:t>
      </w:r>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rPr>
        <w:t>年度</w:t>
      </w:r>
      <w:r>
        <w:rPr>
          <w:rFonts w:hint="eastAsia" w:asciiTheme="minorEastAsia" w:hAnsiTheme="minorEastAsia" w:cstheme="minorEastAsia"/>
          <w:color w:val="auto"/>
          <w:highlight w:val="none"/>
          <w:lang w:val="en-US" w:eastAsia="zh-CN"/>
        </w:rPr>
        <w:t>或2025年度</w:t>
      </w:r>
      <w:r>
        <w:rPr>
          <w:rFonts w:hint="eastAsia" w:asciiTheme="minorEastAsia" w:hAnsiTheme="minorEastAsia" w:eastAsiaTheme="minorEastAsia" w:cstheme="minorEastAsia"/>
          <w:color w:val="auto"/>
          <w:highlight w:val="none"/>
          <w:lang w:eastAsia="zh-CN"/>
        </w:rPr>
        <w:t>参选人</w:t>
      </w:r>
      <w:r>
        <w:rPr>
          <w:rFonts w:hint="eastAsia" w:asciiTheme="minorEastAsia" w:hAnsiTheme="minorEastAsia" w:eastAsiaTheme="minorEastAsia" w:cstheme="minorEastAsia"/>
          <w:color w:val="auto"/>
          <w:highlight w:val="none"/>
        </w:rPr>
        <w:t>内部的财务报表复印件（至少包含资产负债表），③提供截至</w:t>
      </w:r>
      <w:r>
        <w:rPr>
          <w:rFonts w:hint="eastAsia" w:asciiTheme="minorEastAsia" w:hAnsiTheme="minorEastAsia" w:cstheme="minorEastAsia"/>
          <w:color w:val="auto"/>
          <w:highlight w:val="none"/>
          <w:lang w:eastAsia="zh-CN"/>
        </w:rPr>
        <w:t>报价文件</w:t>
      </w:r>
      <w:r>
        <w:rPr>
          <w:rFonts w:hint="eastAsia" w:asciiTheme="minorEastAsia" w:hAnsiTheme="minorEastAsia" w:eastAsiaTheme="minorEastAsia" w:cstheme="minorEastAsia"/>
          <w:color w:val="auto"/>
          <w:highlight w:val="none"/>
        </w:rPr>
        <w:t>递交截止日一年内银行出具的资信证明（复印件），④</w:t>
      </w:r>
      <w:r>
        <w:rPr>
          <w:rFonts w:hint="eastAsia" w:asciiTheme="minorEastAsia" w:hAnsiTheme="minorEastAsia" w:eastAsiaTheme="minorEastAsia" w:cstheme="minorEastAsia"/>
          <w:color w:val="auto"/>
          <w:highlight w:val="none"/>
          <w:lang w:eastAsia="zh-CN"/>
        </w:rPr>
        <w:t>参选人</w:t>
      </w:r>
      <w:r>
        <w:rPr>
          <w:rFonts w:hint="eastAsia" w:asciiTheme="minorEastAsia" w:hAnsiTheme="minorEastAsia" w:eastAsiaTheme="minorEastAsia" w:cstheme="minorEastAsia"/>
          <w:color w:val="auto"/>
          <w:highlight w:val="none"/>
        </w:rPr>
        <w:t>注册时间截至</w:t>
      </w:r>
      <w:r>
        <w:rPr>
          <w:rFonts w:hint="eastAsia" w:asciiTheme="minorEastAsia" w:hAnsiTheme="minorEastAsia" w:cstheme="minorEastAsia"/>
          <w:color w:val="auto"/>
          <w:highlight w:val="none"/>
          <w:lang w:eastAsia="zh-CN"/>
        </w:rPr>
        <w:t>报价文件</w:t>
      </w:r>
      <w:r>
        <w:rPr>
          <w:rFonts w:hint="eastAsia" w:asciiTheme="minorEastAsia" w:hAnsiTheme="minorEastAsia" w:eastAsiaTheme="minorEastAsia" w:cstheme="minorEastAsia"/>
          <w:color w:val="auto"/>
          <w:highlight w:val="none"/>
        </w:rPr>
        <w:t>递交截止日不足一年的，也可提供加盖工商备案主管部门印章的公司章程复印件。</w:t>
      </w:r>
      <w:r>
        <w:rPr>
          <w:rFonts w:hint="eastAsia" w:asciiTheme="minorEastAsia" w:hAnsiTheme="minorEastAsia" w:eastAsiaTheme="minorEastAsia" w:cstheme="minorEastAsia"/>
          <w:bCs/>
          <w:color w:val="auto"/>
          <w:szCs w:val="21"/>
          <w:highlight w:val="none"/>
          <w:lang w:val="en-US" w:eastAsia="zh-CN"/>
        </w:rPr>
        <w:t>⑤提供承诺函。</w:t>
      </w:r>
      <w:r>
        <w:rPr>
          <w:rFonts w:hint="eastAsia" w:asciiTheme="minorEastAsia" w:hAnsiTheme="minorEastAsia" w:eastAsiaTheme="minorEastAsia" w:cstheme="minorEastAsia"/>
          <w:color w:val="auto"/>
          <w:highlight w:val="none"/>
          <w:lang w:val="en-US" w:eastAsia="zh-CN"/>
        </w:rPr>
        <w:t>参选人根据自身情况自行选择以上1-5条要求中任意一种提供。</w:t>
      </w:r>
    </w:p>
    <w:p w14:paraId="23BA593D">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5A178904">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73A29554">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5C4B0887">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621F1146">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2DE55A91">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182A4E8D">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07B0F505">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2069C3CD">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1ECC912D">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0EE81806">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680DED6C">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639882B1">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3638DC03">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43573A93">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58EF1C7B">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2F975F3A">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07B9AE46">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0299CE90">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34B92E96">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31CB211A">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7EC8B815">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0FF258EC">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7B2FF52B">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1322F905">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602842C9">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76870DF8">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128C95ED">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3AFB5704">
      <w:pPr>
        <w:adjustRightInd w:val="0"/>
        <w:spacing w:line="276" w:lineRule="auto"/>
        <w:contextualSpacing/>
        <w:jc w:val="both"/>
        <w:rPr>
          <w:rFonts w:hint="eastAsia" w:asciiTheme="minorEastAsia" w:hAnsiTheme="minorEastAsia" w:eastAsiaTheme="minorEastAsia" w:cstheme="minorEastAsia"/>
          <w:color w:val="auto"/>
          <w:highlight w:val="none"/>
          <w:lang w:val="en-US" w:eastAsia="zh-CN"/>
        </w:rPr>
      </w:pPr>
    </w:p>
    <w:p w14:paraId="7E09982D">
      <w:pPr>
        <w:adjustRightInd w:val="0"/>
        <w:spacing w:line="276" w:lineRule="auto"/>
        <w:contextualSpacing/>
        <w:jc w:val="center"/>
        <w:rPr>
          <w:rFonts w:hint="eastAsia" w:ascii="宋体" w:hAnsi="宋体" w:eastAsia="宋体" w:cs="宋体"/>
          <w:color w:val="auto"/>
          <w:kern w:val="0"/>
          <w:sz w:val="32"/>
          <w:szCs w:val="32"/>
          <w:highlight w:val="none"/>
          <w:lang w:val="en-US" w:eastAsia="zh-CN" w:bidi="ar"/>
        </w:rPr>
      </w:pPr>
    </w:p>
    <w:p w14:paraId="1B4DBE45">
      <w:pPr>
        <w:numPr>
          <w:ilvl w:val="0"/>
          <w:numId w:val="0"/>
        </w:numPr>
        <w:adjustRightInd w:val="0"/>
        <w:spacing w:line="276" w:lineRule="auto"/>
        <w:ind w:left="0" w:leftChars="0" w:firstLine="0" w:firstLineChars="0"/>
        <w:contextualSpacing/>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lang w:val="en-US" w:eastAsia="zh-CN" w:bidi="ar"/>
        </w:rPr>
        <w:t>四、</w:t>
      </w:r>
      <w:r>
        <w:rPr>
          <w:rFonts w:hint="eastAsia" w:ascii="宋体" w:hAnsi="宋体" w:eastAsia="宋体" w:cs="宋体"/>
          <w:color w:val="auto"/>
          <w:kern w:val="0"/>
          <w:sz w:val="32"/>
          <w:szCs w:val="32"/>
          <w:highlight w:val="none"/>
          <w:lang w:val="en-US" w:eastAsia="zh-CN" w:bidi="ar"/>
        </w:rPr>
        <w:t>具有履行合同所必须的专业技术能力</w:t>
      </w:r>
    </w:p>
    <w:p w14:paraId="79A62ED5">
      <w:pPr>
        <w:numPr>
          <w:ilvl w:val="0"/>
          <w:numId w:val="0"/>
        </w:numPr>
        <w:adjustRightInd w:val="0"/>
        <w:spacing w:line="276" w:lineRule="auto"/>
        <w:ind w:leftChars="0"/>
        <w:contextualSpacing/>
        <w:jc w:val="center"/>
        <w:rPr>
          <w:rFonts w:hint="eastAsia" w:ascii="宋体" w:hAnsi="宋体" w:eastAsia="宋体" w:cs="宋体"/>
          <w:color w:val="auto"/>
          <w:kern w:val="0"/>
          <w:sz w:val="32"/>
          <w:szCs w:val="32"/>
          <w:highlight w:val="none"/>
          <w:lang w:val="en-US" w:eastAsia="zh-CN" w:bidi="ar"/>
        </w:rPr>
      </w:pPr>
      <w:r>
        <w:rPr>
          <w:rFonts w:hint="eastAsia" w:asciiTheme="minorEastAsia" w:hAnsiTheme="minorEastAsia" w:eastAsiaTheme="minorEastAsia" w:cstheme="minorEastAsia"/>
          <w:bCs/>
          <w:color w:val="auto"/>
          <w:szCs w:val="21"/>
          <w:highlight w:val="none"/>
          <w:lang w:val="en-US" w:eastAsia="zh-CN"/>
        </w:rPr>
        <w:t>注：承诺函或相关证明材料</w:t>
      </w:r>
    </w:p>
    <w:p w14:paraId="42AE4FD1">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30DC8179">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52C1B4EE">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1D4DE7B9">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1B740037">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1549E6D1">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52459CE3">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67D728D4">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30F02080">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690A4525">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5AFBA8DA">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559D7433">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21781810">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703526D6">
      <w:pPr>
        <w:pStyle w:val="3"/>
        <w:rPr>
          <w:rFonts w:hint="eastAsia" w:ascii="宋体" w:hAnsi="宋体" w:eastAsia="宋体" w:cs="宋体"/>
          <w:color w:val="auto"/>
          <w:kern w:val="0"/>
          <w:sz w:val="32"/>
          <w:szCs w:val="32"/>
          <w:highlight w:val="none"/>
          <w:lang w:val="en-US" w:eastAsia="zh-CN" w:bidi="ar"/>
        </w:rPr>
      </w:pPr>
    </w:p>
    <w:p w14:paraId="7C66CB7A">
      <w:pPr>
        <w:pStyle w:val="4"/>
        <w:rPr>
          <w:rFonts w:hint="eastAsia" w:ascii="宋体" w:hAnsi="宋体" w:eastAsia="宋体" w:cs="宋体"/>
          <w:color w:val="auto"/>
          <w:kern w:val="0"/>
          <w:sz w:val="32"/>
          <w:szCs w:val="32"/>
          <w:highlight w:val="none"/>
          <w:lang w:val="en-US" w:eastAsia="zh-CN" w:bidi="ar"/>
        </w:rPr>
      </w:pPr>
    </w:p>
    <w:p w14:paraId="21DA96AF">
      <w:pPr>
        <w:rPr>
          <w:rFonts w:hint="eastAsia" w:ascii="宋体" w:hAnsi="宋体" w:eastAsia="宋体" w:cs="宋体"/>
          <w:color w:val="auto"/>
          <w:kern w:val="0"/>
          <w:sz w:val="32"/>
          <w:szCs w:val="32"/>
          <w:highlight w:val="none"/>
          <w:lang w:val="en-US" w:eastAsia="zh-CN" w:bidi="ar"/>
        </w:rPr>
      </w:pPr>
    </w:p>
    <w:p w14:paraId="53782CDB">
      <w:pPr>
        <w:pStyle w:val="3"/>
        <w:rPr>
          <w:rFonts w:hint="eastAsia" w:ascii="宋体" w:hAnsi="宋体" w:eastAsia="宋体" w:cs="宋体"/>
          <w:color w:val="auto"/>
          <w:kern w:val="0"/>
          <w:sz w:val="32"/>
          <w:szCs w:val="32"/>
          <w:highlight w:val="none"/>
          <w:lang w:val="en-US" w:eastAsia="zh-CN" w:bidi="ar"/>
        </w:rPr>
      </w:pPr>
    </w:p>
    <w:p w14:paraId="2765EE40">
      <w:pPr>
        <w:rPr>
          <w:rFonts w:hint="eastAsia"/>
          <w:lang w:val="en-US" w:eastAsia="zh-CN"/>
        </w:rPr>
      </w:pPr>
    </w:p>
    <w:p w14:paraId="57183893">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4DB189EC">
      <w:p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71DB8F79">
      <w:pPr>
        <w:numPr>
          <w:ilvl w:val="0"/>
          <w:numId w:val="0"/>
        </w:numPr>
        <w:adjustRightInd w:val="0"/>
        <w:spacing w:line="276" w:lineRule="auto"/>
        <w:contextualSpacing/>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lang w:val="en-US" w:eastAsia="zh-CN" w:bidi="ar"/>
        </w:rPr>
        <w:t>五、</w:t>
      </w:r>
      <w:r>
        <w:rPr>
          <w:rFonts w:hint="eastAsia" w:ascii="宋体" w:hAnsi="宋体" w:eastAsia="宋体" w:cs="宋体"/>
          <w:color w:val="auto"/>
          <w:kern w:val="0"/>
          <w:sz w:val="32"/>
          <w:szCs w:val="32"/>
          <w:highlight w:val="none"/>
          <w:lang w:val="en-US" w:eastAsia="zh-CN" w:bidi="ar"/>
        </w:rPr>
        <w:t>具有依法缴纳税收和社会保障资金的良好记录</w:t>
      </w:r>
    </w:p>
    <w:p w14:paraId="6242B599">
      <w:pPr>
        <w:numPr>
          <w:ilvl w:val="0"/>
          <w:numId w:val="0"/>
        </w:numPr>
        <w:adjustRightInd w:val="0"/>
        <w:spacing w:line="276" w:lineRule="auto"/>
        <w:ind w:leftChars="0"/>
        <w:contextualSpacing/>
        <w:jc w:val="center"/>
        <w:rPr>
          <w:rFonts w:hint="eastAsia" w:ascii="宋体" w:hAnsi="宋体" w:eastAsia="宋体" w:cs="宋体"/>
          <w:color w:val="auto"/>
          <w:kern w:val="0"/>
          <w:sz w:val="32"/>
          <w:szCs w:val="32"/>
          <w:highlight w:val="none"/>
          <w:lang w:val="en-US" w:eastAsia="zh-CN" w:bidi="ar"/>
        </w:rPr>
      </w:pPr>
      <w:r>
        <w:rPr>
          <w:rFonts w:hint="eastAsia" w:asciiTheme="minorEastAsia" w:hAnsiTheme="minorEastAsia" w:eastAsiaTheme="minorEastAsia" w:cstheme="minorEastAsia"/>
          <w:bCs/>
          <w:color w:val="auto"/>
          <w:szCs w:val="21"/>
          <w:highlight w:val="none"/>
          <w:lang w:val="en-US" w:eastAsia="zh-CN"/>
        </w:rPr>
        <w:t>注：承诺函或相关证明材料</w:t>
      </w:r>
    </w:p>
    <w:p w14:paraId="1BBA1D36">
      <w:pPr>
        <w:numPr>
          <w:ilvl w:val="0"/>
          <w:numId w:val="0"/>
        </w:numPr>
        <w:adjustRightInd w:val="0"/>
        <w:spacing w:line="276" w:lineRule="auto"/>
        <w:contextualSpacing/>
        <w:jc w:val="center"/>
        <w:rPr>
          <w:rFonts w:hint="eastAsia" w:ascii="宋体" w:hAnsi="宋体" w:eastAsia="宋体" w:cs="宋体"/>
          <w:color w:val="auto"/>
          <w:kern w:val="0"/>
          <w:sz w:val="32"/>
          <w:szCs w:val="32"/>
          <w:highlight w:val="none"/>
          <w:lang w:val="en-US" w:eastAsia="zh-CN" w:bidi="ar"/>
        </w:rPr>
      </w:pPr>
    </w:p>
    <w:p w14:paraId="1EDEB696">
      <w:pPr>
        <w:pStyle w:val="3"/>
        <w:rPr>
          <w:rFonts w:hint="eastAsia" w:ascii="宋体" w:hAnsi="宋体" w:eastAsia="宋体" w:cs="宋体"/>
          <w:color w:val="auto"/>
          <w:kern w:val="0"/>
          <w:sz w:val="32"/>
          <w:szCs w:val="32"/>
          <w:highlight w:val="none"/>
          <w:lang w:val="en-US" w:eastAsia="zh-CN" w:bidi="ar"/>
        </w:rPr>
      </w:pPr>
    </w:p>
    <w:p w14:paraId="551109EE">
      <w:pPr>
        <w:pStyle w:val="4"/>
        <w:rPr>
          <w:rFonts w:hint="eastAsia" w:ascii="宋体" w:hAnsi="宋体" w:eastAsia="宋体" w:cs="宋体"/>
          <w:color w:val="auto"/>
          <w:kern w:val="0"/>
          <w:sz w:val="32"/>
          <w:szCs w:val="32"/>
          <w:highlight w:val="none"/>
          <w:lang w:val="en-US" w:eastAsia="zh-CN" w:bidi="ar"/>
        </w:rPr>
      </w:pPr>
    </w:p>
    <w:p w14:paraId="66F3220E">
      <w:pPr>
        <w:rPr>
          <w:rFonts w:hint="eastAsia" w:ascii="宋体" w:hAnsi="宋体" w:eastAsia="宋体" w:cs="宋体"/>
          <w:color w:val="auto"/>
          <w:kern w:val="0"/>
          <w:sz w:val="32"/>
          <w:szCs w:val="32"/>
          <w:highlight w:val="none"/>
          <w:lang w:val="en-US" w:eastAsia="zh-CN" w:bidi="ar"/>
        </w:rPr>
      </w:pPr>
    </w:p>
    <w:p w14:paraId="29AC0D42">
      <w:pPr>
        <w:pStyle w:val="3"/>
        <w:rPr>
          <w:rFonts w:hint="eastAsia" w:ascii="宋体" w:hAnsi="宋体" w:eastAsia="宋体" w:cs="宋体"/>
          <w:color w:val="auto"/>
          <w:kern w:val="0"/>
          <w:sz w:val="32"/>
          <w:szCs w:val="32"/>
          <w:highlight w:val="none"/>
          <w:lang w:val="en-US" w:eastAsia="zh-CN" w:bidi="ar"/>
        </w:rPr>
      </w:pPr>
    </w:p>
    <w:p w14:paraId="0E3443B1">
      <w:pPr>
        <w:pStyle w:val="4"/>
        <w:rPr>
          <w:rFonts w:hint="eastAsia" w:ascii="宋体" w:hAnsi="宋体" w:eastAsia="宋体" w:cs="宋体"/>
          <w:color w:val="auto"/>
          <w:kern w:val="0"/>
          <w:sz w:val="32"/>
          <w:szCs w:val="32"/>
          <w:highlight w:val="none"/>
          <w:lang w:val="en-US" w:eastAsia="zh-CN" w:bidi="ar"/>
        </w:rPr>
      </w:pPr>
    </w:p>
    <w:p w14:paraId="26DBEFCF">
      <w:pPr>
        <w:rPr>
          <w:rFonts w:hint="eastAsia" w:ascii="宋体" w:hAnsi="宋体" w:eastAsia="宋体" w:cs="宋体"/>
          <w:color w:val="auto"/>
          <w:kern w:val="0"/>
          <w:sz w:val="32"/>
          <w:szCs w:val="32"/>
          <w:highlight w:val="none"/>
          <w:lang w:val="en-US" w:eastAsia="zh-CN" w:bidi="ar"/>
        </w:rPr>
      </w:pPr>
    </w:p>
    <w:p w14:paraId="6C217E98">
      <w:pPr>
        <w:pStyle w:val="3"/>
        <w:rPr>
          <w:rFonts w:hint="eastAsia" w:ascii="宋体" w:hAnsi="宋体" w:eastAsia="宋体" w:cs="宋体"/>
          <w:color w:val="auto"/>
          <w:kern w:val="0"/>
          <w:sz w:val="32"/>
          <w:szCs w:val="32"/>
          <w:highlight w:val="none"/>
          <w:lang w:val="en-US" w:eastAsia="zh-CN" w:bidi="ar"/>
        </w:rPr>
      </w:pPr>
    </w:p>
    <w:p w14:paraId="02A5B9A3">
      <w:pPr>
        <w:pStyle w:val="4"/>
        <w:rPr>
          <w:rFonts w:hint="eastAsia" w:ascii="宋体" w:hAnsi="宋体" w:eastAsia="宋体" w:cs="宋体"/>
          <w:color w:val="auto"/>
          <w:kern w:val="0"/>
          <w:sz w:val="32"/>
          <w:szCs w:val="32"/>
          <w:highlight w:val="none"/>
          <w:lang w:val="en-US" w:eastAsia="zh-CN" w:bidi="ar"/>
        </w:rPr>
      </w:pPr>
    </w:p>
    <w:p w14:paraId="38971B91">
      <w:pPr>
        <w:rPr>
          <w:rFonts w:hint="eastAsia" w:ascii="宋体" w:hAnsi="宋体" w:eastAsia="宋体" w:cs="宋体"/>
          <w:color w:val="auto"/>
          <w:kern w:val="0"/>
          <w:sz w:val="32"/>
          <w:szCs w:val="32"/>
          <w:highlight w:val="none"/>
          <w:lang w:val="en-US" w:eastAsia="zh-CN" w:bidi="ar"/>
        </w:rPr>
      </w:pPr>
    </w:p>
    <w:p w14:paraId="35F5E3AA">
      <w:pPr>
        <w:pStyle w:val="3"/>
        <w:rPr>
          <w:rFonts w:hint="eastAsia"/>
          <w:lang w:val="en-US" w:eastAsia="zh-CN"/>
        </w:rPr>
      </w:pPr>
    </w:p>
    <w:p w14:paraId="109ADB2E">
      <w:pP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br w:type="page"/>
      </w:r>
    </w:p>
    <w:p w14:paraId="19645E77">
      <w:pPr>
        <w:numPr>
          <w:ilvl w:val="0"/>
          <w:numId w:val="0"/>
        </w:numPr>
        <w:adjustRightInd w:val="0"/>
        <w:spacing w:line="276" w:lineRule="auto"/>
        <w:contextualSpacing/>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lang w:val="en-US" w:eastAsia="zh-CN" w:bidi="ar"/>
        </w:rPr>
        <w:t>六、</w:t>
      </w:r>
      <w:r>
        <w:rPr>
          <w:rFonts w:hint="eastAsia" w:ascii="宋体" w:hAnsi="宋体" w:eastAsia="宋体" w:cs="宋体"/>
          <w:color w:val="auto"/>
          <w:kern w:val="0"/>
          <w:sz w:val="32"/>
          <w:szCs w:val="32"/>
          <w:highlight w:val="none"/>
          <w:lang w:val="en-US" w:eastAsia="zh-CN" w:bidi="ar"/>
        </w:rPr>
        <w:t>参加本次比选活动前三年内，在经营活动中没有重大违法违规记录</w:t>
      </w:r>
    </w:p>
    <w:p w14:paraId="3C443296">
      <w:pPr>
        <w:numPr>
          <w:ilvl w:val="0"/>
          <w:numId w:val="0"/>
        </w:numPr>
        <w:adjustRightInd w:val="0"/>
        <w:spacing w:line="276" w:lineRule="auto"/>
        <w:ind w:leftChars="0"/>
        <w:contextualSpacing/>
        <w:jc w:val="center"/>
        <w:rPr>
          <w:rFonts w:hint="eastAsia" w:ascii="宋体" w:hAnsi="宋体" w:eastAsia="宋体" w:cs="宋体"/>
          <w:color w:val="auto"/>
          <w:kern w:val="0"/>
          <w:sz w:val="32"/>
          <w:szCs w:val="32"/>
          <w:highlight w:val="none"/>
          <w:lang w:val="en-US" w:eastAsia="zh-CN" w:bidi="ar"/>
        </w:rPr>
      </w:pPr>
      <w:r>
        <w:rPr>
          <w:rFonts w:hint="eastAsia" w:asciiTheme="minorEastAsia" w:hAnsiTheme="minorEastAsia" w:eastAsiaTheme="minorEastAsia" w:cstheme="minorEastAsia"/>
          <w:bCs/>
          <w:color w:val="auto"/>
          <w:szCs w:val="21"/>
          <w:highlight w:val="none"/>
          <w:lang w:val="en-US" w:eastAsia="zh-CN"/>
        </w:rPr>
        <w:t>注：承诺函或相关证明材料</w:t>
      </w:r>
    </w:p>
    <w:p w14:paraId="37C8B917">
      <w:pPr>
        <w:numPr>
          <w:ilvl w:val="0"/>
          <w:numId w:val="0"/>
        </w:num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140E9AE0">
      <w:pPr>
        <w:numPr>
          <w:ilvl w:val="0"/>
          <w:numId w:val="0"/>
        </w:num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580491BC">
      <w:pPr>
        <w:numPr>
          <w:ilvl w:val="0"/>
          <w:numId w:val="0"/>
        </w:num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3F217589">
      <w:pPr>
        <w:numPr>
          <w:ilvl w:val="0"/>
          <w:numId w:val="0"/>
        </w:num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67A0577C">
      <w:pPr>
        <w:numPr>
          <w:ilvl w:val="0"/>
          <w:numId w:val="0"/>
        </w:num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3FE04372">
      <w:pPr>
        <w:numPr>
          <w:ilvl w:val="0"/>
          <w:numId w:val="0"/>
        </w:numPr>
        <w:adjustRightInd w:val="0"/>
        <w:spacing w:line="276" w:lineRule="auto"/>
        <w:contextualSpacing/>
        <w:jc w:val="both"/>
        <w:rPr>
          <w:rFonts w:hint="eastAsia" w:ascii="宋体" w:hAnsi="宋体" w:eastAsia="宋体" w:cs="宋体"/>
          <w:color w:val="auto"/>
          <w:kern w:val="0"/>
          <w:sz w:val="32"/>
          <w:szCs w:val="32"/>
          <w:highlight w:val="none"/>
          <w:lang w:val="en-US" w:eastAsia="zh-CN" w:bidi="ar"/>
        </w:rPr>
      </w:pPr>
    </w:p>
    <w:p w14:paraId="7236D19E">
      <w:pPr>
        <w:pStyle w:val="3"/>
        <w:rPr>
          <w:rFonts w:hint="eastAsia" w:ascii="宋体" w:hAnsi="宋体" w:eastAsia="宋体" w:cs="宋体"/>
          <w:color w:val="auto"/>
          <w:kern w:val="0"/>
          <w:sz w:val="32"/>
          <w:szCs w:val="32"/>
          <w:highlight w:val="none"/>
          <w:lang w:val="en-US" w:eastAsia="zh-CN" w:bidi="ar"/>
        </w:rPr>
      </w:pPr>
    </w:p>
    <w:p w14:paraId="599CD884">
      <w:pPr>
        <w:pStyle w:val="4"/>
        <w:rPr>
          <w:rFonts w:hint="eastAsia" w:ascii="宋体" w:hAnsi="宋体" w:eastAsia="宋体" w:cs="宋体"/>
          <w:color w:val="auto"/>
          <w:kern w:val="0"/>
          <w:sz w:val="32"/>
          <w:szCs w:val="32"/>
          <w:highlight w:val="none"/>
          <w:lang w:val="en-US" w:eastAsia="zh-CN" w:bidi="ar"/>
        </w:rPr>
      </w:pPr>
    </w:p>
    <w:p w14:paraId="49ED0AC0">
      <w:pPr>
        <w:rPr>
          <w:rFonts w:hint="eastAsia" w:ascii="宋体" w:hAnsi="宋体" w:eastAsia="宋体" w:cs="宋体"/>
          <w:color w:val="auto"/>
          <w:kern w:val="0"/>
          <w:sz w:val="32"/>
          <w:szCs w:val="32"/>
          <w:highlight w:val="none"/>
          <w:lang w:val="en-US" w:eastAsia="zh-CN" w:bidi="ar"/>
        </w:rPr>
      </w:pPr>
    </w:p>
    <w:p w14:paraId="58DD2128">
      <w:pPr>
        <w:pStyle w:val="3"/>
        <w:rPr>
          <w:rFonts w:hint="eastAsia" w:ascii="宋体" w:hAnsi="宋体" w:eastAsia="宋体" w:cs="宋体"/>
          <w:color w:val="auto"/>
          <w:kern w:val="0"/>
          <w:sz w:val="32"/>
          <w:szCs w:val="32"/>
          <w:highlight w:val="none"/>
          <w:lang w:val="en-US" w:eastAsia="zh-CN" w:bidi="ar"/>
        </w:rPr>
      </w:pPr>
    </w:p>
    <w:p w14:paraId="5D3E278B">
      <w:pPr>
        <w:pStyle w:val="4"/>
        <w:rPr>
          <w:rFonts w:hint="eastAsia" w:ascii="宋体" w:hAnsi="宋体" w:eastAsia="宋体" w:cs="宋体"/>
          <w:color w:val="auto"/>
          <w:kern w:val="0"/>
          <w:sz w:val="32"/>
          <w:szCs w:val="32"/>
          <w:highlight w:val="none"/>
          <w:lang w:val="en-US" w:eastAsia="zh-CN" w:bidi="ar"/>
        </w:rPr>
      </w:pPr>
    </w:p>
    <w:p w14:paraId="31003EDB">
      <w:pPr>
        <w:rPr>
          <w:rFonts w:hint="eastAsia" w:ascii="宋体" w:hAnsi="宋体" w:eastAsia="宋体" w:cs="宋体"/>
          <w:color w:val="auto"/>
          <w:kern w:val="0"/>
          <w:sz w:val="32"/>
          <w:szCs w:val="32"/>
          <w:highlight w:val="none"/>
          <w:lang w:val="en-US" w:eastAsia="zh-CN" w:bidi="ar"/>
        </w:rPr>
      </w:pPr>
    </w:p>
    <w:p w14:paraId="722838A8">
      <w:pPr>
        <w:pStyle w:val="3"/>
        <w:rPr>
          <w:rFonts w:hint="eastAsia" w:ascii="宋体" w:hAnsi="宋体" w:eastAsia="宋体" w:cs="宋体"/>
          <w:color w:val="auto"/>
          <w:kern w:val="0"/>
          <w:sz w:val="32"/>
          <w:szCs w:val="32"/>
          <w:highlight w:val="none"/>
          <w:lang w:val="en-US" w:eastAsia="zh-CN" w:bidi="ar"/>
        </w:rPr>
      </w:pPr>
    </w:p>
    <w:p w14:paraId="40749A50">
      <w:pPr>
        <w:pStyle w:val="4"/>
        <w:rPr>
          <w:rFonts w:hint="eastAsia" w:ascii="宋体" w:hAnsi="宋体" w:eastAsia="宋体" w:cs="宋体"/>
          <w:color w:val="auto"/>
          <w:kern w:val="0"/>
          <w:sz w:val="32"/>
          <w:szCs w:val="32"/>
          <w:highlight w:val="none"/>
          <w:lang w:val="en-US" w:eastAsia="zh-CN" w:bidi="ar"/>
        </w:rPr>
      </w:pPr>
    </w:p>
    <w:p w14:paraId="6C45C619">
      <w:pPr>
        <w:rPr>
          <w:rFonts w:hint="eastAsia" w:ascii="宋体" w:hAnsi="宋体" w:eastAsia="宋体" w:cs="宋体"/>
          <w:color w:val="auto"/>
          <w:kern w:val="0"/>
          <w:sz w:val="32"/>
          <w:szCs w:val="32"/>
          <w:highlight w:val="none"/>
          <w:lang w:val="en-US" w:eastAsia="zh-CN" w:bidi="ar"/>
        </w:rPr>
      </w:pPr>
    </w:p>
    <w:p w14:paraId="3E58F545">
      <w:pPr>
        <w:pStyle w:val="3"/>
        <w:rPr>
          <w:rFonts w:hint="eastAsia" w:ascii="宋体" w:hAnsi="宋体" w:eastAsia="宋体" w:cs="宋体"/>
          <w:color w:val="auto"/>
          <w:kern w:val="0"/>
          <w:sz w:val="32"/>
          <w:szCs w:val="32"/>
          <w:highlight w:val="none"/>
          <w:lang w:val="en-US" w:eastAsia="zh-CN" w:bidi="ar"/>
        </w:rPr>
      </w:pPr>
    </w:p>
    <w:p w14:paraId="76A87682">
      <w:pPr>
        <w:pStyle w:val="4"/>
        <w:rPr>
          <w:rFonts w:hint="eastAsia" w:ascii="宋体" w:hAnsi="宋体" w:eastAsia="宋体" w:cs="宋体"/>
          <w:color w:val="auto"/>
          <w:kern w:val="0"/>
          <w:sz w:val="32"/>
          <w:szCs w:val="32"/>
          <w:highlight w:val="none"/>
          <w:lang w:val="en-US" w:eastAsia="zh-CN" w:bidi="ar"/>
        </w:rPr>
      </w:pPr>
    </w:p>
    <w:p w14:paraId="2D86451D">
      <w:pPr>
        <w:rPr>
          <w:rFonts w:hint="eastAsia"/>
          <w:lang w:val="en-US" w:eastAsia="zh-CN"/>
        </w:rPr>
      </w:pPr>
    </w:p>
    <w:p w14:paraId="13582225">
      <w:pPr>
        <w:numPr>
          <w:ilvl w:val="0"/>
          <w:numId w:val="0"/>
        </w:numPr>
        <w:adjustRightInd w:val="0"/>
        <w:spacing w:line="276" w:lineRule="auto"/>
        <w:contextualSpacing/>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br w:type="textWrapping"/>
      </w:r>
      <w:r>
        <w:rPr>
          <w:rFonts w:hint="eastAsia" w:ascii="宋体" w:hAnsi="宋体" w:eastAsia="宋体" w:cs="宋体"/>
          <w:color w:val="auto"/>
          <w:kern w:val="0"/>
          <w:sz w:val="32"/>
          <w:szCs w:val="32"/>
          <w:highlight w:val="none"/>
          <w:lang w:val="en-US" w:eastAsia="zh-CN" w:bidi="ar"/>
        </w:rPr>
        <w:t>七、法律、行政法规规定的其他条件</w:t>
      </w:r>
    </w:p>
    <w:p w14:paraId="43D4C234">
      <w:pPr>
        <w:numPr>
          <w:ilvl w:val="0"/>
          <w:numId w:val="0"/>
        </w:numPr>
        <w:adjustRightInd w:val="0"/>
        <w:spacing w:line="276" w:lineRule="auto"/>
        <w:ind w:leftChars="0"/>
        <w:contextualSpacing/>
        <w:jc w:val="center"/>
        <w:rPr>
          <w:rFonts w:hint="eastAsia" w:ascii="宋体" w:hAnsi="宋体" w:eastAsia="宋体" w:cs="宋体"/>
          <w:color w:val="auto"/>
          <w:kern w:val="0"/>
          <w:sz w:val="32"/>
          <w:szCs w:val="32"/>
          <w:highlight w:val="none"/>
          <w:lang w:val="en-US" w:eastAsia="zh-CN" w:bidi="ar"/>
        </w:rPr>
      </w:pPr>
      <w:r>
        <w:rPr>
          <w:rFonts w:hint="eastAsia" w:asciiTheme="minorEastAsia" w:hAnsiTheme="minorEastAsia" w:eastAsiaTheme="minorEastAsia" w:cstheme="minorEastAsia"/>
          <w:bCs/>
          <w:color w:val="auto"/>
          <w:szCs w:val="21"/>
          <w:highlight w:val="none"/>
          <w:lang w:val="en-US" w:eastAsia="zh-CN"/>
        </w:rPr>
        <w:t>注：承诺函或相关证明材料</w:t>
      </w:r>
    </w:p>
    <w:p w14:paraId="095F4DF4">
      <w:pPr>
        <w:pStyle w:val="3"/>
        <w:rPr>
          <w:rFonts w:hint="eastAsia"/>
          <w:lang w:val="en-US" w:eastAsia="zh-CN"/>
        </w:rPr>
      </w:pPr>
    </w:p>
    <w:p w14:paraId="66932E59">
      <w:pPr>
        <w:pStyle w:val="4"/>
        <w:rPr>
          <w:rFonts w:hint="eastAsia"/>
          <w:lang w:val="en-US" w:eastAsia="zh-CN"/>
        </w:rPr>
      </w:pPr>
    </w:p>
    <w:p w14:paraId="29A5CB52">
      <w:pPr>
        <w:rPr>
          <w:rFonts w:hint="eastAsia"/>
          <w:lang w:val="en-US" w:eastAsia="zh-CN"/>
        </w:rPr>
      </w:pPr>
    </w:p>
    <w:p w14:paraId="33504C00">
      <w:pPr>
        <w:pStyle w:val="3"/>
        <w:rPr>
          <w:rFonts w:hint="eastAsia"/>
          <w:lang w:val="en-US" w:eastAsia="zh-CN"/>
        </w:rPr>
      </w:pPr>
    </w:p>
    <w:p w14:paraId="33141AF2">
      <w:pPr>
        <w:pStyle w:val="4"/>
        <w:rPr>
          <w:rFonts w:hint="eastAsia"/>
          <w:lang w:val="en-US" w:eastAsia="zh-CN"/>
        </w:rPr>
      </w:pPr>
    </w:p>
    <w:p w14:paraId="6B023637">
      <w:pPr>
        <w:rPr>
          <w:rFonts w:hint="eastAsia"/>
          <w:lang w:val="en-US" w:eastAsia="zh-CN"/>
        </w:rPr>
      </w:pPr>
    </w:p>
    <w:p w14:paraId="7E96C73A">
      <w:pPr>
        <w:pStyle w:val="3"/>
        <w:rPr>
          <w:rFonts w:hint="eastAsia"/>
          <w:lang w:val="en-US" w:eastAsia="zh-CN"/>
        </w:rPr>
      </w:pPr>
    </w:p>
    <w:p w14:paraId="5E74B413">
      <w:pPr>
        <w:pStyle w:val="4"/>
        <w:rPr>
          <w:rFonts w:hint="eastAsia"/>
          <w:lang w:val="en-US" w:eastAsia="zh-CN"/>
        </w:rPr>
      </w:pPr>
    </w:p>
    <w:p w14:paraId="4DC9CAF3">
      <w:pPr>
        <w:rPr>
          <w:rFonts w:hint="eastAsia"/>
          <w:lang w:val="en-US" w:eastAsia="zh-CN"/>
        </w:rPr>
      </w:pPr>
    </w:p>
    <w:p w14:paraId="189A8303">
      <w:pPr>
        <w:pStyle w:val="3"/>
        <w:rPr>
          <w:rFonts w:hint="eastAsia"/>
          <w:lang w:val="en-US" w:eastAsia="zh-CN"/>
        </w:rPr>
      </w:pPr>
    </w:p>
    <w:p w14:paraId="03AB4197">
      <w:pPr>
        <w:pStyle w:val="4"/>
        <w:rPr>
          <w:rFonts w:hint="eastAsia"/>
          <w:lang w:val="en-US" w:eastAsia="zh-CN"/>
        </w:rPr>
      </w:pPr>
    </w:p>
    <w:p w14:paraId="52DFEC01">
      <w:pPr>
        <w:rPr>
          <w:rFonts w:hint="eastAsia"/>
          <w:lang w:val="en-US" w:eastAsia="zh-CN"/>
        </w:rPr>
      </w:pPr>
    </w:p>
    <w:p w14:paraId="61D66E2F">
      <w:pPr>
        <w:pStyle w:val="3"/>
        <w:rPr>
          <w:rFonts w:hint="eastAsia"/>
          <w:lang w:val="en-US" w:eastAsia="zh-CN"/>
        </w:rPr>
      </w:pPr>
    </w:p>
    <w:p w14:paraId="3849F416">
      <w:pPr>
        <w:pStyle w:val="4"/>
        <w:rPr>
          <w:rFonts w:hint="eastAsia"/>
          <w:lang w:val="en-US" w:eastAsia="zh-CN"/>
        </w:rPr>
      </w:pPr>
    </w:p>
    <w:p w14:paraId="5F0DBF49">
      <w:pPr>
        <w:rPr>
          <w:rFonts w:hint="eastAsia"/>
          <w:lang w:val="en-US" w:eastAsia="zh-CN"/>
        </w:rPr>
      </w:pPr>
    </w:p>
    <w:p w14:paraId="17EC43BA">
      <w:pPr>
        <w:pStyle w:val="3"/>
        <w:rPr>
          <w:rFonts w:hint="eastAsia"/>
          <w:lang w:val="en-US" w:eastAsia="zh-CN"/>
        </w:rPr>
      </w:pPr>
    </w:p>
    <w:p w14:paraId="49347125">
      <w:pPr>
        <w:pStyle w:val="4"/>
        <w:rPr>
          <w:rFonts w:hint="eastAsia"/>
          <w:lang w:val="en-US" w:eastAsia="zh-CN"/>
        </w:rPr>
      </w:pPr>
    </w:p>
    <w:p w14:paraId="3D4F7D89">
      <w:pPr>
        <w:rPr>
          <w:rFonts w:hint="eastAsia"/>
          <w:lang w:val="en-US" w:eastAsia="zh-CN"/>
        </w:rPr>
      </w:pPr>
    </w:p>
    <w:p w14:paraId="02165156">
      <w:pPr>
        <w:pStyle w:val="3"/>
        <w:rPr>
          <w:rFonts w:hint="eastAsia"/>
          <w:lang w:val="en-US" w:eastAsia="zh-CN"/>
        </w:rPr>
      </w:pPr>
    </w:p>
    <w:p w14:paraId="1771771D">
      <w:pPr>
        <w:pStyle w:val="4"/>
        <w:rPr>
          <w:rFonts w:hint="eastAsia"/>
          <w:lang w:val="en-US" w:eastAsia="zh-CN"/>
        </w:rPr>
      </w:pPr>
    </w:p>
    <w:p w14:paraId="2BC1141C">
      <w:pPr>
        <w:rPr>
          <w:rFonts w:hint="eastAsia"/>
          <w:lang w:val="en-US" w:eastAsia="zh-CN"/>
        </w:rPr>
      </w:pPr>
    </w:p>
    <w:p w14:paraId="0FD7615A">
      <w:pPr>
        <w:pStyle w:val="3"/>
        <w:rPr>
          <w:rFonts w:hint="eastAsia"/>
          <w:lang w:val="en-US" w:eastAsia="zh-CN"/>
        </w:rPr>
      </w:pPr>
    </w:p>
    <w:p w14:paraId="65065E38">
      <w:pPr>
        <w:pStyle w:val="4"/>
        <w:rPr>
          <w:rFonts w:hint="eastAsia"/>
          <w:lang w:val="en-US" w:eastAsia="zh-CN"/>
        </w:rPr>
      </w:pPr>
    </w:p>
    <w:p w14:paraId="36B50517">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lang w:val="en-US" w:eastAsia="zh-CN" w:bidi="ar"/>
        </w:rPr>
        <w:t>八、</w:t>
      </w:r>
      <w:r>
        <w:rPr>
          <w:rFonts w:hint="eastAsia" w:ascii="宋体" w:hAnsi="宋体" w:eastAsia="宋体" w:cs="宋体"/>
          <w:color w:val="auto"/>
          <w:kern w:val="0"/>
          <w:sz w:val="32"/>
          <w:szCs w:val="32"/>
          <w:highlight w:val="none"/>
          <w:lang w:val="en-US" w:eastAsia="zh-CN" w:bidi="ar"/>
        </w:rPr>
        <w:t>比选人根据采购项目提出的特殊条件：参选人为农药生产厂家的须具有有效的《农药生产许可证》；参选人为非农药生产厂家的须需具有有效的《危险化学品经营许可证》或有效的《农药经营许可证》</w:t>
      </w:r>
    </w:p>
    <w:p w14:paraId="56F9976B">
      <w:pPr>
        <w:keepNext w:val="0"/>
        <w:keepLines w:val="0"/>
        <w:widowControl/>
        <w:numPr>
          <w:ilvl w:val="0"/>
          <w:numId w:val="0"/>
        </w:numPr>
        <w:suppressLineNumbers w:val="0"/>
        <w:shd w:val="clear" w:fill="FFFFFF"/>
        <w:ind w:left="0" w:leftChars="0" w:firstLine="0" w:firstLineChars="0"/>
        <w:jc w:val="center"/>
        <w:rPr>
          <w:rFonts w:hint="eastAsia" w:asciiTheme="minorEastAsia" w:hAnsiTheme="minorEastAsia" w:cstheme="minorEastAsia"/>
          <w:bCs/>
          <w:color w:val="auto"/>
          <w:szCs w:val="21"/>
          <w:highlight w:val="none"/>
          <w:lang w:val="en-US" w:eastAsia="zh-CN"/>
        </w:rPr>
      </w:pPr>
    </w:p>
    <w:p w14:paraId="501CB43F">
      <w:pPr>
        <w:keepNext w:val="0"/>
        <w:keepLines w:val="0"/>
        <w:widowControl/>
        <w:numPr>
          <w:ilvl w:val="0"/>
          <w:numId w:val="0"/>
        </w:numPr>
        <w:suppressLineNumbers w:val="0"/>
        <w:shd w:val="clear" w:fill="FFFFFF"/>
        <w:ind w:left="0" w:leftChars="0" w:firstLine="0" w:firstLineChars="0"/>
        <w:jc w:val="center"/>
        <w:rPr>
          <w:rFonts w:hint="eastAsia" w:asciiTheme="minorEastAsia" w:hAnsiTheme="minorEastAsia" w:cstheme="minorEastAsia"/>
          <w:bCs/>
          <w:color w:val="auto"/>
          <w:szCs w:val="21"/>
          <w:highlight w:val="none"/>
          <w:lang w:val="en-US" w:eastAsia="zh-CN"/>
        </w:rPr>
      </w:pPr>
    </w:p>
    <w:p w14:paraId="4EA6CBDA">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lang w:val="en-US" w:eastAsia="zh-CN" w:bidi="ar"/>
        </w:rPr>
      </w:pPr>
      <w:r>
        <w:rPr>
          <w:rFonts w:hint="eastAsia" w:asciiTheme="minorEastAsia" w:hAnsiTheme="minorEastAsia" w:cstheme="minorEastAsia"/>
          <w:bCs/>
          <w:color w:val="auto"/>
          <w:szCs w:val="21"/>
          <w:highlight w:val="none"/>
          <w:lang w:val="en-US" w:eastAsia="zh-CN"/>
        </w:rPr>
        <w:t>注：</w:t>
      </w:r>
      <w:r>
        <w:rPr>
          <w:rFonts w:hint="eastAsia" w:asciiTheme="minorEastAsia" w:hAnsiTheme="minorEastAsia" w:eastAsiaTheme="minorEastAsia" w:cstheme="minorEastAsia"/>
          <w:bCs/>
          <w:color w:val="auto"/>
          <w:szCs w:val="21"/>
          <w:highlight w:val="none"/>
          <w:lang w:val="en-US" w:eastAsia="zh-CN"/>
        </w:rPr>
        <w:t>参选人为农药生产厂家的须提供有效的《农药生产许可证》；参选人为非农药生产厂家的须提供需具有有效的《危险化学品经营许可证》或提供有效的《农药经营许可证》</w:t>
      </w:r>
    </w:p>
    <w:p w14:paraId="4F57A50F">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lang w:val="en-US" w:eastAsia="zh-CN" w:bidi="ar"/>
        </w:rPr>
      </w:pPr>
    </w:p>
    <w:p w14:paraId="0ACBBA13">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lang w:val="en-US" w:eastAsia="zh-CN" w:bidi="ar"/>
        </w:rPr>
      </w:pPr>
    </w:p>
    <w:p w14:paraId="647EBE2C">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lang w:val="en-US" w:eastAsia="zh-CN" w:bidi="ar"/>
        </w:rPr>
      </w:pPr>
    </w:p>
    <w:p w14:paraId="4C550AF4">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lang w:val="en-US" w:eastAsia="zh-CN" w:bidi="ar"/>
        </w:rPr>
      </w:pPr>
    </w:p>
    <w:p w14:paraId="11954471">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4A963F34">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46AE649D">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619EF347">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35A76C88">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4F2E0C45">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2E519870">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2C8FD72F">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28ED8B0C">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4F1A0CA9">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4250AAEC">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p>
    <w:p w14:paraId="6D2D4B96">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br w:type="textWrapping"/>
      </w:r>
      <w:r>
        <w:rPr>
          <w:rFonts w:hint="eastAsia" w:ascii="宋体" w:hAnsi="宋体" w:eastAsia="宋体" w:cs="宋体"/>
          <w:color w:val="auto"/>
          <w:kern w:val="0"/>
          <w:sz w:val="32"/>
          <w:szCs w:val="32"/>
          <w:highlight w:val="none"/>
          <w:lang w:val="en-US" w:eastAsia="zh-CN" w:bidi="ar"/>
        </w:rPr>
        <w:t>       </w:t>
      </w:r>
    </w:p>
    <w:p w14:paraId="11D77DB7">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lang w:val="en-US" w:eastAsia="zh-CN" w:bidi="ar"/>
        </w:rPr>
        <w:t>九、</w:t>
      </w:r>
      <w:r>
        <w:rPr>
          <w:rFonts w:hint="eastAsia" w:ascii="宋体" w:hAnsi="宋体" w:eastAsia="宋体" w:cs="宋体"/>
          <w:color w:val="auto"/>
          <w:kern w:val="0"/>
          <w:sz w:val="32"/>
          <w:szCs w:val="32"/>
          <w:highlight w:val="none"/>
          <w:lang w:val="en-US" w:eastAsia="zh-CN" w:bidi="ar"/>
        </w:rPr>
        <w:t>禁止参加本次采购活动的参选人：参选人不得为“信用中国”网站(www.creditchina.gov.cn)中列入失信被执行人和重大税收违法失信主体的供应商，不得为中国政府采购网(www.ccgp.gov.cn)政府采购严重违法失信行为记录名单中被财政部门禁止参加政府采购活动的供应商(处罚决定规定的时间和地域范围内)。</w:t>
      </w:r>
    </w:p>
    <w:p w14:paraId="1FFBE2A9">
      <w:pPr>
        <w:pStyle w:val="3"/>
        <w:rPr>
          <w:rFonts w:hint="eastAsia"/>
          <w:lang w:val="en-US" w:eastAsia="zh-CN"/>
        </w:rPr>
      </w:pPr>
    </w:p>
    <w:p w14:paraId="265E5BF4">
      <w:pPr>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cstheme="minorEastAsia"/>
          <w:bCs/>
          <w:color w:val="auto"/>
          <w:szCs w:val="21"/>
          <w:highlight w:val="none"/>
          <w:lang w:val="en-US" w:eastAsia="zh-CN"/>
        </w:rPr>
        <w:t>注：</w:t>
      </w:r>
      <w:r>
        <w:rPr>
          <w:rFonts w:hint="eastAsia" w:asciiTheme="minorEastAsia" w:hAnsiTheme="minorEastAsia" w:eastAsiaTheme="minorEastAsia" w:cstheme="minorEastAsia"/>
          <w:bCs/>
          <w:color w:val="auto"/>
          <w:szCs w:val="21"/>
          <w:highlight w:val="none"/>
          <w:lang w:val="en-US" w:eastAsia="zh-CN"/>
        </w:rPr>
        <w:t>参选人在“信用中国”网站（www.creditchina.gov.cn）、中国政府采购网(www.ccgp.gov.cn)查询并打印相应信用记录。（上述网站获取的信息查询结果原始页面的打印件或截图），非企业参与时由参选人在报价文件中自行提供承诺函，格式自拟</w:t>
      </w:r>
    </w:p>
    <w:p w14:paraId="29C7B68D">
      <w:pPr>
        <w:keepNext w:val="0"/>
        <w:keepLines w:val="0"/>
        <w:widowControl/>
        <w:numPr>
          <w:ilvl w:val="0"/>
          <w:numId w:val="0"/>
        </w:numPr>
        <w:suppressLineNumbers w:val="0"/>
        <w:shd w:val="clear" w:fill="FFFFFF"/>
        <w:ind w:leftChars="0"/>
        <w:jc w:val="both"/>
        <w:rPr>
          <w:rFonts w:hint="eastAsia" w:ascii="宋体" w:hAnsi="宋体" w:eastAsia="宋体" w:cs="宋体"/>
          <w:b/>
          <w:bCs/>
          <w:sz w:val="28"/>
          <w:szCs w:val="28"/>
          <w:lang w:val="en-US" w:eastAsia="zh-CN"/>
        </w:rPr>
      </w:pPr>
    </w:p>
    <w:p w14:paraId="52BD29AA">
      <w:pPr>
        <w:keepNext w:val="0"/>
        <w:keepLines w:val="0"/>
        <w:widowControl/>
        <w:numPr>
          <w:ilvl w:val="0"/>
          <w:numId w:val="0"/>
        </w:numPr>
        <w:suppressLineNumbers w:val="0"/>
        <w:shd w:val="clear" w:fill="FFFFFF"/>
        <w:ind w:left="0" w:leftChars="0" w:firstLine="0" w:firstLineChars="0"/>
        <w:jc w:val="center"/>
        <w:rPr>
          <w:rFonts w:hint="eastAsia" w:ascii="宋体" w:hAnsi="宋体" w:eastAsia="宋体" w:cs="宋体"/>
          <w:b/>
          <w:bCs/>
          <w:sz w:val="28"/>
          <w:szCs w:val="28"/>
          <w:lang w:val="en-US" w:eastAsia="zh-CN"/>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br w:type="textWrapping"/>
      </w:r>
    </w:p>
    <w:p w14:paraId="34614615">
      <w:pPr>
        <w:rPr>
          <w:rFonts w:hint="eastAsia" w:ascii="宋体" w:hAnsi="宋体" w:eastAsia="宋体" w:cs="宋体"/>
          <w:b/>
          <w:bCs/>
          <w:sz w:val="28"/>
          <w:szCs w:val="28"/>
          <w:lang w:val="en-US" w:eastAsia="zh-CN"/>
        </w:rPr>
      </w:pPr>
    </w:p>
    <w:p w14:paraId="25FFB956">
      <w:pPr>
        <w:rPr>
          <w:rFonts w:hint="eastAsia" w:ascii="宋体" w:hAnsi="宋体" w:eastAsia="宋体" w:cs="宋体"/>
          <w:b/>
          <w:bCs/>
          <w:sz w:val="28"/>
          <w:szCs w:val="28"/>
          <w:lang w:val="en-US" w:eastAsia="zh-CN"/>
        </w:rPr>
      </w:pPr>
    </w:p>
    <w:p w14:paraId="64BFAB22">
      <w:pPr>
        <w:rPr>
          <w:rFonts w:hint="eastAsia" w:ascii="微软雅黑" w:hAnsi="微软雅黑" w:eastAsia="微软雅黑" w:cs="微软雅黑"/>
          <w:i w:val="0"/>
          <w:iCs w:val="0"/>
          <w:caps w:val="0"/>
          <w:color w:val="000000"/>
          <w:spacing w:val="0"/>
          <w:kern w:val="0"/>
          <w:sz w:val="19"/>
          <w:szCs w:val="19"/>
          <w:shd w:val="clear" w:fill="FFFFFF"/>
          <w:lang w:val="en-US" w:eastAsia="zh-CN" w:bidi="ar"/>
        </w:rPr>
      </w:pPr>
      <w:r>
        <w:rPr>
          <w:rFonts w:hint="eastAsia" w:ascii="微软雅黑" w:hAnsi="微软雅黑" w:eastAsia="微软雅黑" w:cs="微软雅黑"/>
          <w:i w:val="0"/>
          <w:iCs w:val="0"/>
          <w:caps w:val="0"/>
          <w:color w:val="000000"/>
          <w:spacing w:val="0"/>
          <w:kern w:val="0"/>
          <w:sz w:val="19"/>
          <w:szCs w:val="19"/>
          <w:shd w:val="clear" w:fill="FFFFFF"/>
          <w:lang w:val="en-US" w:eastAsia="zh-CN" w:bidi="ar"/>
        </w:rPr>
        <w:br w:type="textWrapping"/>
      </w:r>
    </w:p>
    <w:p w14:paraId="54CB806B">
      <w:pPr>
        <w:pStyle w:val="3"/>
        <w:rPr>
          <w:rFonts w:hint="eastAsia"/>
          <w:lang w:val="en-US" w:eastAsia="zh-CN"/>
        </w:rPr>
      </w:pPr>
    </w:p>
    <w:p w14:paraId="18ED7DB6">
      <w:pPr>
        <w:pStyle w:val="4"/>
        <w:rPr>
          <w:rFonts w:hint="eastAsia"/>
          <w:lang w:val="en-US" w:eastAsia="zh-CN"/>
        </w:rPr>
      </w:pPr>
    </w:p>
    <w:p w14:paraId="0BBB46FE">
      <w:pPr>
        <w:rPr>
          <w:rFonts w:hint="eastAsia"/>
          <w:lang w:val="en-US" w:eastAsia="zh-CN"/>
        </w:rPr>
      </w:pPr>
    </w:p>
    <w:p w14:paraId="4FFD780C">
      <w:pPr>
        <w:pStyle w:val="3"/>
        <w:rPr>
          <w:rFonts w:hint="eastAsia"/>
          <w:lang w:val="en-US" w:eastAsia="zh-CN"/>
        </w:rPr>
      </w:pPr>
    </w:p>
    <w:p w14:paraId="079FBD69">
      <w:pPr>
        <w:pStyle w:val="4"/>
        <w:rPr>
          <w:rFonts w:hint="eastAsia"/>
          <w:lang w:val="en-US" w:eastAsia="zh-CN"/>
        </w:rPr>
      </w:pPr>
    </w:p>
    <w:p w14:paraId="4A0B2838">
      <w:pPr>
        <w:rPr>
          <w:rFonts w:hint="eastAsia"/>
          <w:lang w:val="en-US" w:eastAsia="zh-CN"/>
        </w:rPr>
      </w:pPr>
    </w:p>
    <w:p w14:paraId="6B0FD3BC">
      <w:pPr>
        <w:pStyle w:val="3"/>
        <w:rPr>
          <w:rFonts w:hint="eastAsia"/>
          <w:lang w:val="en-US" w:eastAsia="zh-CN"/>
        </w:rPr>
      </w:pPr>
    </w:p>
    <w:p w14:paraId="3319CA29">
      <w:pPr>
        <w:pStyle w:val="4"/>
        <w:rPr>
          <w:rFonts w:hint="eastAsia"/>
          <w:lang w:val="en-US" w:eastAsia="zh-CN"/>
        </w:rPr>
      </w:pPr>
    </w:p>
    <w:p w14:paraId="36F0A2CE">
      <w:pPr>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t>十、法定代表人授权委托书原件(参选人代表是法定代表人的无需提供)</w:t>
      </w:r>
    </w:p>
    <w:p w14:paraId="1523A11A">
      <w:pPr>
        <w:bidi w:val="0"/>
        <w:rPr>
          <w:rFonts w:hint="eastAsia" w:ascii="宋体" w:hAnsi="宋体" w:eastAsia="宋体" w:cs="宋体"/>
          <w:kern w:val="2"/>
          <w:sz w:val="21"/>
          <w:szCs w:val="24"/>
          <w:lang w:val="en-US" w:eastAsia="zh-CN" w:bidi="ar-SA"/>
        </w:rPr>
      </w:pPr>
    </w:p>
    <w:p w14:paraId="234BE286">
      <w:pPr>
        <w:bidi w:val="0"/>
        <w:rPr>
          <w:rFonts w:hint="eastAsia" w:ascii="宋体" w:hAnsi="宋体" w:eastAsia="宋体" w:cs="宋体"/>
          <w:lang w:val="en-US" w:eastAsia="zh-CN"/>
        </w:rPr>
      </w:pPr>
    </w:p>
    <w:p w14:paraId="47B80EFB">
      <w:pPr>
        <w:bidi w:val="0"/>
        <w:rPr>
          <w:rFonts w:hint="eastAsia" w:ascii="宋体" w:hAnsi="宋体" w:eastAsia="宋体" w:cs="宋体"/>
          <w:lang w:val="en-US" w:eastAsia="zh-CN"/>
        </w:rPr>
      </w:pPr>
    </w:p>
    <w:p w14:paraId="6D7411CF">
      <w:pPr>
        <w:bidi w:val="0"/>
        <w:rPr>
          <w:rFonts w:hint="eastAsia" w:ascii="宋体" w:hAnsi="宋体" w:eastAsia="宋体" w:cs="宋体"/>
          <w:lang w:val="en-US" w:eastAsia="zh-CN"/>
        </w:rPr>
      </w:pPr>
    </w:p>
    <w:p w14:paraId="410BFB78">
      <w:pPr>
        <w:bidi w:val="0"/>
        <w:rPr>
          <w:rFonts w:hint="eastAsia" w:ascii="宋体" w:hAnsi="宋体" w:eastAsia="宋体" w:cs="宋体"/>
          <w:lang w:val="en-US" w:eastAsia="zh-CN"/>
        </w:rPr>
      </w:pPr>
    </w:p>
    <w:p w14:paraId="6BB3AEC8">
      <w:pPr>
        <w:bidi w:val="0"/>
        <w:rPr>
          <w:rFonts w:hint="eastAsia" w:ascii="宋体" w:hAnsi="宋体" w:eastAsia="宋体" w:cs="宋体"/>
          <w:lang w:val="en-US" w:eastAsia="zh-CN"/>
        </w:rPr>
      </w:pPr>
    </w:p>
    <w:p w14:paraId="713CE258">
      <w:pPr>
        <w:bidi w:val="0"/>
        <w:rPr>
          <w:rFonts w:hint="eastAsia" w:ascii="宋体" w:hAnsi="宋体" w:eastAsia="宋体" w:cs="宋体"/>
          <w:lang w:val="en-US" w:eastAsia="zh-CN"/>
        </w:rPr>
      </w:pPr>
    </w:p>
    <w:p w14:paraId="2682C3C2">
      <w:pPr>
        <w:bidi w:val="0"/>
        <w:rPr>
          <w:rFonts w:hint="eastAsia" w:ascii="宋体" w:hAnsi="宋体" w:eastAsia="宋体" w:cs="宋体"/>
          <w:lang w:val="en-US" w:eastAsia="zh-CN"/>
        </w:rPr>
      </w:pPr>
    </w:p>
    <w:p w14:paraId="7C258E80">
      <w:pPr>
        <w:bidi w:val="0"/>
        <w:rPr>
          <w:rFonts w:hint="eastAsia" w:ascii="宋体" w:hAnsi="宋体" w:eastAsia="宋体" w:cs="宋体"/>
          <w:lang w:val="en-US" w:eastAsia="zh-CN"/>
        </w:rPr>
      </w:pPr>
    </w:p>
    <w:p w14:paraId="341F4D9A">
      <w:pPr>
        <w:bidi w:val="0"/>
        <w:rPr>
          <w:rFonts w:hint="eastAsia" w:ascii="宋体" w:hAnsi="宋体" w:eastAsia="宋体" w:cs="宋体"/>
          <w:lang w:val="en-US" w:eastAsia="zh-CN"/>
        </w:rPr>
      </w:pPr>
    </w:p>
    <w:p w14:paraId="2E5B19A9">
      <w:pPr>
        <w:bidi w:val="0"/>
        <w:rPr>
          <w:rFonts w:hint="eastAsia" w:ascii="宋体" w:hAnsi="宋体" w:eastAsia="宋体" w:cs="宋体"/>
          <w:lang w:val="en-US" w:eastAsia="zh-CN"/>
        </w:rPr>
      </w:pPr>
    </w:p>
    <w:p w14:paraId="0376FC65">
      <w:pPr>
        <w:bidi w:val="0"/>
        <w:rPr>
          <w:rFonts w:hint="eastAsia" w:ascii="宋体" w:hAnsi="宋体" w:eastAsia="宋体" w:cs="宋体"/>
          <w:lang w:val="en-US" w:eastAsia="zh-CN"/>
        </w:rPr>
      </w:pPr>
    </w:p>
    <w:p w14:paraId="30D4E5A2">
      <w:pPr>
        <w:bidi w:val="0"/>
        <w:rPr>
          <w:rFonts w:hint="eastAsia" w:ascii="宋体" w:hAnsi="宋体" w:eastAsia="宋体" w:cs="宋体"/>
          <w:lang w:val="en-US" w:eastAsia="zh-CN"/>
        </w:rPr>
      </w:pPr>
    </w:p>
    <w:p w14:paraId="386652EE">
      <w:pPr>
        <w:bidi w:val="0"/>
        <w:rPr>
          <w:rFonts w:hint="eastAsia" w:ascii="宋体" w:hAnsi="宋体" w:eastAsia="宋体" w:cs="宋体"/>
          <w:lang w:val="en-US" w:eastAsia="zh-CN"/>
        </w:rPr>
      </w:pPr>
    </w:p>
    <w:p w14:paraId="49388C93">
      <w:pPr>
        <w:bidi w:val="0"/>
        <w:rPr>
          <w:rFonts w:hint="eastAsia" w:ascii="宋体" w:hAnsi="宋体" w:eastAsia="宋体" w:cs="宋体"/>
          <w:lang w:val="en-US" w:eastAsia="zh-CN"/>
        </w:rPr>
      </w:pPr>
    </w:p>
    <w:p w14:paraId="6DCEB3EE">
      <w:pPr>
        <w:bidi w:val="0"/>
        <w:rPr>
          <w:rFonts w:hint="eastAsia" w:ascii="宋体" w:hAnsi="宋体" w:eastAsia="宋体" w:cs="宋体"/>
          <w:lang w:val="en-US" w:eastAsia="zh-CN"/>
        </w:rPr>
      </w:pPr>
    </w:p>
    <w:p w14:paraId="7F694975">
      <w:pPr>
        <w:bidi w:val="0"/>
        <w:rPr>
          <w:rFonts w:hint="eastAsia" w:ascii="宋体" w:hAnsi="宋体" w:eastAsia="宋体" w:cs="宋体"/>
          <w:lang w:val="en-US" w:eastAsia="zh-CN"/>
        </w:rPr>
      </w:pPr>
    </w:p>
    <w:p w14:paraId="7F18E395">
      <w:pPr>
        <w:bidi w:val="0"/>
        <w:rPr>
          <w:rFonts w:hint="eastAsia" w:ascii="宋体" w:hAnsi="宋体" w:eastAsia="宋体" w:cs="宋体"/>
          <w:lang w:val="en-US" w:eastAsia="zh-CN"/>
        </w:rPr>
      </w:pPr>
    </w:p>
    <w:p w14:paraId="46457C0E">
      <w:pPr>
        <w:bidi w:val="0"/>
        <w:rPr>
          <w:rFonts w:hint="eastAsia" w:ascii="宋体" w:hAnsi="宋体" w:eastAsia="宋体" w:cs="宋体"/>
          <w:lang w:val="en-US" w:eastAsia="zh-CN"/>
        </w:rPr>
      </w:pPr>
    </w:p>
    <w:p w14:paraId="4AD3F069">
      <w:pPr>
        <w:bidi w:val="0"/>
        <w:rPr>
          <w:rFonts w:hint="eastAsia" w:ascii="宋体" w:hAnsi="宋体" w:eastAsia="宋体" w:cs="宋体"/>
          <w:lang w:val="en-US" w:eastAsia="zh-CN"/>
        </w:rPr>
      </w:pPr>
    </w:p>
    <w:p w14:paraId="0DD3281A">
      <w:pPr>
        <w:bidi w:val="0"/>
        <w:rPr>
          <w:rFonts w:hint="eastAsia" w:ascii="宋体" w:hAnsi="宋体" w:eastAsia="宋体" w:cs="宋体"/>
          <w:lang w:val="en-US" w:eastAsia="zh-CN"/>
        </w:rPr>
      </w:pPr>
    </w:p>
    <w:p w14:paraId="3AC5149E">
      <w:pPr>
        <w:bidi w:val="0"/>
        <w:rPr>
          <w:rFonts w:hint="eastAsia" w:ascii="宋体" w:hAnsi="宋体" w:eastAsia="宋体" w:cs="宋体"/>
          <w:lang w:val="en-US" w:eastAsia="zh-CN"/>
        </w:rPr>
      </w:pPr>
    </w:p>
    <w:p w14:paraId="7074D576">
      <w:pPr>
        <w:bidi w:val="0"/>
        <w:rPr>
          <w:rFonts w:hint="eastAsia" w:ascii="宋体" w:hAnsi="宋体" w:eastAsia="宋体" w:cs="宋体"/>
          <w:lang w:val="en-US" w:eastAsia="zh-CN"/>
        </w:rPr>
      </w:pPr>
    </w:p>
    <w:p w14:paraId="603C9879">
      <w:pPr>
        <w:bidi w:val="0"/>
        <w:rPr>
          <w:rFonts w:hint="eastAsia" w:ascii="宋体" w:hAnsi="宋体" w:eastAsia="宋体" w:cs="宋体"/>
          <w:lang w:val="en-US" w:eastAsia="zh-CN"/>
        </w:rPr>
      </w:pPr>
    </w:p>
    <w:p w14:paraId="7CC00C3F">
      <w:pPr>
        <w:bidi w:val="0"/>
        <w:rPr>
          <w:rFonts w:hint="eastAsia" w:ascii="宋体" w:hAnsi="宋体" w:eastAsia="宋体" w:cs="宋体"/>
          <w:lang w:val="en-US" w:eastAsia="zh-CN"/>
        </w:rPr>
      </w:pPr>
    </w:p>
    <w:p w14:paraId="30D140D1">
      <w:pPr>
        <w:bidi w:val="0"/>
        <w:rPr>
          <w:rFonts w:hint="eastAsia" w:ascii="宋体" w:hAnsi="宋体" w:eastAsia="宋体" w:cs="宋体"/>
          <w:lang w:val="en-US" w:eastAsia="zh-CN"/>
        </w:rPr>
      </w:pPr>
    </w:p>
    <w:p w14:paraId="35D6794C">
      <w:pPr>
        <w:bidi w:val="0"/>
        <w:rPr>
          <w:rFonts w:hint="eastAsia" w:ascii="宋体" w:hAnsi="宋体" w:eastAsia="宋体" w:cs="宋体"/>
          <w:lang w:val="en-US" w:eastAsia="zh-CN"/>
        </w:rPr>
      </w:pPr>
    </w:p>
    <w:p w14:paraId="344F055D">
      <w:pPr>
        <w:bidi w:val="0"/>
        <w:rPr>
          <w:rFonts w:hint="eastAsia" w:ascii="宋体" w:hAnsi="宋体" w:eastAsia="宋体" w:cs="宋体"/>
          <w:lang w:val="en-US" w:eastAsia="zh-CN"/>
        </w:rPr>
      </w:pPr>
    </w:p>
    <w:p w14:paraId="749ABA94">
      <w:pPr>
        <w:bidi w:val="0"/>
        <w:rPr>
          <w:rFonts w:hint="eastAsia" w:ascii="宋体" w:hAnsi="宋体" w:eastAsia="宋体" w:cs="宋体"/>
          <w:lang w:val="en-US" w:eastAsia="zh-CN"/>
        </w:rPr>
      </w:pPr>
    </w:p>
    <w:p w14:paraId="08F8E0B1">
      <w:pPr>
        <w:bidi w:val="0"/>
        <w:rPr>
          <w:rFonts w:hint="eastAsia" w:ascii="宋体" w:hAnsi="宋体" w:eastAsia="宋体" w:cs="宋体"/>
          <w:lang w:val="en-US" w:eastAsia="zh-CN"/>
        </w:rPr>
      </w:pPr>
    </w:p>
    <w:p w14:paraId="41688826">
      <w:pPr>
        <w:bidi w:val="0"/>
        <w:rPr>
          <w:rFonts w:hint="eastAsia" w:ascii="宋体" w:hAnsi="宋体" w:eastAsia="宋体" w:cs="宋体"/>
          <w:lang w:val="en-US" w:eastAsia="zh-CN"/>
        </w:rPr>
      </w:pPr>
    </w:p>
    <w:p w14:paraId="3C899FFD">
      <w:pPr>
        <w:bidi w:val="0"/>
        <w:rPr>
          <w:rFonts w:hint="eastAsia" w:ascii="宋体" w:hAnsi="宋体" w:eastAsia="宋体" w:cs="宋体"/>
          <w:lang w:val="en-US" w:eastAsia="zh-CN"/>
        </w:rPr>
      </w:pPr>
    </w:p>
    <w:p w14:paraId="3F385802">
      <w:pPr>
        <w:bidi w:val="0"/>
        <w:rPr>
          <w:rFonts w:hint="eastAsia" w:ascii="宋体" w:hAnsi="宋体" w:eastAsia="宋体" w:cs="宋体"/>
          <w:lang w:val="en-US" w:eastAsia="zh-CN"/>
        </w:rPr>
      </w:pPr>
    </w:p>
    <w:p w14:paraId="6423F9DE">
      <w:pPr>
        <w:bidi w:val="0"/>
        <w:rPr>
          <w:rFonts w:hint="eastAsia" w:ascii="宋体" w:hAnsi="宋体" w:eastAsia="宋体" w:cs="宋体"/>
          <w:lang w:val="en-US" w:eastAsia="zh-CN"/>
        </w:rPr>
      </w:pPr>
    </w:p>
    <w:p w14:paraId="73B888B1">
      <w:pPr>
        <w:bidi w:val="0"/>
        <w:rPr>
          <w:rFonts w:hint="eastAsia" w:ascii="宋体" w:hAnsi="宋体" w:eastAsia="宋体" w:cs="宋体"/>
          <w:lang w:val="en-US" w:eastAsia="zh-CN"/>
        </w:rPr>
      </w:pPr>
    </w:p>
    <w:p w14:paraId="4128A2AD">
      <w:pPr>
        <w:tabs>
          <w:tab w:val="left" w:pos="2449"/>
        </w:tabs>
        <w:bidi w:val="0"/>
        <w:jc w:val="left"/>
        <w:rPr>
          <w:rFonts w:hint="eastAsia" w:ascii="宋体" w:hAnsi="宋体" w:eastAsia="宋体" w:cs="宋体"/>
          <w:lang w:val="en-US" w:eastAsia="zh-CN"/>
        </w:rPr>
      </w:pPr>
      <w:r>
        <w:rPr>
          <w:rFonts w:hint="eastAsia" w:ascii="宋体" w:hAnsi="宋体" w:eastAsia="宋体" w:cs="宋体"/>
          <w:lang w:val="en-US" w:eastAsia="zh-CN"/>
        </w:rPr>
        <w:tab/>
      </w:r>
    </w:p>
    <w:p w14:paraId="091E2E4E">
      <w:pPr>
        <w:tabs>
          <w:tab w:val="left" w:pos="2449"/>
        </w:tabs>
        <w:bidi w:val="0"/>
        <w:jc w:val="left"/>
        <w:rPr>
          <w:rFonts w:hint="eastAsia" w:ascii="宋体" w:hAnsi="宋体" w:eastAsia="宋体" w:cs="宋体"/>
          <w:lang w:val="en-US" w:eastAsia="zh-CN"/>
        </w:rPr>
      </w:pPr>
    </w:p>
    <w:p w14:paraId="45D2CFF7">
      <w:pPr>
        <w:tabs>
          <w:tab w:val="left" w:pos="2449"/>
        </w:tabs>
        <w:bidi w:val="0"/>
        <w:jc w:val="left"/>
        <w:rPr>
          <w:rFonts w:hint="eastAsia" w:ascii="宋体" w:hAnsi="宋体" w:eastAsia="宋体" w:cs="宋体"/>
          <w:lang w:val="en-US" w:eastAsia="zh-CN"/>
        </w:rPr>
      </w:pPr>
    </w:p>
    <w:p w14:paraId="0D1749FD">
      <w:pPr>
        <w:tabs>
          <w:tab w:val="left" w:pos="2449"/>
        </w:tabs>
        <w:bidi w:val="0"/>
        <w:jc w:val="left"/>
        <w:rPr>
          <w:rFonts w:hint="eastAsia" w:ascii="宋体" w:hAnsi="宋体" w:eastAsia="宋体" w:cs="宋体"/>
          <w:lang w:val="en-US" w:eastAsia="zh-CN"/>
        </w:rPr>
      </w:pPr>
    </w:p>
    <w:p w14:paraId="4055CE00">
      <w:pPr>
        <w:tabs>
          <w:tab w:val="left" w:pos="2449"/>
        </w:tabs>
        <w:bidi w:val="0"/>
        <w:jc w:val="left"/>
        <w:rPr>
          <w:rFonts w:hint="eastAsia" w:ascii="宋体" w:hAnsi="宋体" w:eastAsia="宋体" w:cs="宋体"/>
          <w:lang w:val="en-US" w:eastAsia="zh-CN"/>
        </w:rPr>
      </w:pPr>
    </w:p>
    <w:p w14:paraId="7AC4032C">
      <w:pPr>
        <w:tabs>
          <w:tab w:val="left" w:pos="2449"/>
        </w:tabs>
        <w:bidi w:val="0"/>
        <w:jc w:val="left"/>
        <w:rPr>
          <w:rFonts w:hint="eastAsia" w:ascii="宋体" w:hAnsi="宋体" w:eastAsia="宋体" w:cs="宋体"/>
          <w:lang w:val="en-US" w:eastAsia="zh-CN"/>
        </w:rPr>
      </w:pPr>
    </w:p>
    <w:p w14:paraId="7E84C740">
      <w:pPr>
        <w:tabs>
          <w:tab w:val="left" w:pos="2449"/>
        </w:tabs>
        <w:bidi w:val="0"/>
        <w:jc w:val="left"/>
        <w:rPr>
          <w:rFonts w:hint="eastAsia" w:ascii="宋体" w:hAnsi="宋体" w:eastAsia="宋体" w:cs="宋体"/>
          <w:lang w:val="en-US" w:eastAsia="zh-CN"/>
        </w:rPr>
      </w:pPr>
    </w:p>
    <w:p w14:paraId="74C97DDC">
      <w:pPr>
        <w:numPr>
          <w:ilvl w:val="0"/>
          <w:numId w:val="0"/>
        </w:numPr>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t>十一、参选人的法定代表人及授权代表人的有效身份证明复印件</w:t>
      </w:r>
    </w:p>
    <w:p w14:paraId="56378CCB">
      <w:pPr>
        <w:pStyle w:val="3"/>
        <w:numPr>
          <w:ilvl w:val="0"/>
          <w:numId w:val="0"/>
        </w:numPr>
        <w:rPr>
          <w:rFonts w:hint="eastAsia"/>
          <w:lang w:val="en-US" w:eastAsia="zh-CN"/>
        </w:rPr>
      </w:pPr>
    </w:p>
    <w:p w14:paraId="1F47BF60">
      <w:pPr>
        <w:keepNext w:val="0"/>
        <w:keepLines w:val="0"/>
        <w:widowControl/>
        <w:numPr>
          <w:ilvl w:val="0"/>
          <w:numId w:val="0"/>
        </w:numPr>
        <w:suppressLineNumbers w:val="0"/>
        <w:shd w:val="clear" w:fill="FFFFFF"/>
        <w:ind w:left="0" w:leftChars="0" w:firstLine="0" w:firstLineChars="0"/>
        <w:jc w:val="center"/>
        <w:rPr>
          <w:rFonts w:hint="default" w:ascii="宋体" w:hAnsi="宋体" w:eastAsia="宋体" w:cs="宋体"/>
          <w:color w:val="auto"/>
          <w:kern w:val="0"/>
          <w:sz w:val="32"/>
          <w:szCs w:val="32"/>
          <w:highlight w:val="none"/>
          <w:lang w:val="en-US" w:eastAsia="zh-CN" w:bidi="ar"/>
        </w:rPr>
      </w:pPr>
    </w:p>
    <w:p w14:paraId="78A14E9A">
      <w:pPr>
        <w:rPr>
          <w:rFonts w:hint="eastAsia" w:ascii="宋体" w:hAnsi="宋体" w:eastAsia="宋体" w:cs="宋体"/>
          <w:b/>
          <w:bCs/>
          <w:sz w:val="28"/>
          <w:szCs w:val="28"/>
          <w:lang w:val="en-US" w:eastAsia="zh-CN"/>
        </w:rPr>
      </w:pPr>
    </w:p>
    <w:p w14:paraId="61C3D6B8">
      <w:pPr>
        <w:rPr>
          <w:rFonts w:hint="eastAsia" w:ascii="宋体" w:hAnsi="宋体" w:eastAsia="宋体" w:cs="宋体"/>
          <w:b/>
          <w:bCs/>
          <w:sz w:val="28"/>
          <w:szCs w:val="28"/>
          <w:lang w:val="en-US" w:eastAsia="zh-CN"/>
        </w:rPr>
      </w:pPr>
    </w:p>
    <w:p w14:paraId="60C044A4">
      <w:pPr>
        <w:rPr>
          <w:rFonts w:hint="eastAsia" w:ascii="宋体" w:hAnsi="宋体" w:eastAsia="宋体" w:cs="宋体"/>
          <w:b/>
          <w:bCs/>
          <w:sz w:val="28"/>
          <w:szCs w:val="28"/>
          <w:lang w:val="en-US" w:eastAsia="zh-CN"/>
        </w:rPr>
      </w:pPr>
    </w:p>
    <w:p w14:paraId="5B9884B8">
      <w:pPr>
        <w:rPr>
          <w:rFonts w:hint="eastAsia" w:ascii="宋体" w:hAnsi="宋体" w:eastAsia="宋体" w:cs="宋体"/>
          <w:b/>
          <w:bCs/>
          <w:sz w:val="28"/>
          <w:szCs w:val="28"/>
          <w:lang w:val="en-US" w:eastAsia="zh-CN"/>
        </w:rPr>
      </w:pPr>
    </w:p>
    <w:p w14:paraId="0C05265B">
      <w:pPr>
        <w:rPr>
          <w:rFonts w:hint="eastAsia" w:ascii="宋体" w:hAnsi="宋体" w:eastAsia="宋体" w:cs="宋体"/>
          <w:b/>
          <w:bCs/>
          <w:sz w:val="28"/>
          <w:szCs w:val="28"/>
          <w:lang w:val="en-US" w:eastAsia="zh-CN"/>
        </w:rPr>
      </w:pPr>
    </w:p>
    <w:p w14:paraId="3DCCDD97">
      <w:pPr>
        <w:rPr>
          <w:rFonts w:hint="eastAsia" w:ascii="宋体" w:hAnsi="宋体" w:eastAsia="宋体" w:cs="宋体"/>
          <w:b/>
          <w:bCs/>
          <w:sz w:val="28"/>
          <w:szCs w:val="28"/>
          <w:lang w:val="en-US" w:eastAsia="zh-CN"/>
        </w:rPr>
      </w:pPr>
    </w:p>
    <w:p w14:paraId="256BC8CC">
      <w:pPr>
        <w:widowControl w:val="0"/>
        <w:numPr>
          <w:ilvl w:val="0"/>
          <w:numId w:val="0"/>
        </w:numPr>
        <w:jc w:val="both"/>
        <w:rPr>
          <w:rFonts w:hint="eastAsia" w:ascii="宋体" w:hAnsi="宋体" w:eastAsia="宋体" w:cs="宋体"/>
          <w:b/>
          <w:bCs/>
          <w:sz w:val="28"/>
          <w:szCs w:val="28"/>
          <w:lang w:val="en-US" w:eastAsia="zh-CN"/>
        </w:rPr>
      </w:pPr>
    </w:p>
    <w:p w14:paraId="6E1A90AA">
      <w:pPr>
        <w:pStyle w:val="3"/>
        <w:rPr>
          <w:rFonts w:hint="eastAsia" w:ascii="宋体" w:hAnsi="宋体" w:eastAsia="宋体" w:cs="宋体"/>
          <w:b/>
          <w:bCs/>
          <w:sz w:val="28"/>
          <w:szCs w:val="28"/>
          <w:lang w:val="en-US" w:eastAsia="zh-CN"/>
        </w:rPr>
      </w:pPr>
    </w:p>
    <w:p w14:paraId="5EBA989B">
      <w:pPr>
        <w:pStyle w:val="4"/>
        <w:rPr>
          <w:rFonts w:hint="eastAsia" w:ascii="宋体" w:hAnsi="宋体" w:eastAsia="宋体" w:cs="宋体"/>
          <w:b/>
          <w:bCs/>
          <w:sz w:val="28"/>
          <w:szCs w:val="28"/>
          <w:lang w:val="en-US" w:eastAsia="zh-CN"/>
        </w:rPr>
      </w:pPr>
    </w:p>
    <w:p w14:paraId="04BE187D">
      <w:pPr>
        <w:rPr>
          <w:rFonts w:hint="eastAsia" w:ascii="宋体" w:hAnsi="宋体" w:eastAsia="宋体" w:cs="宋体"/>
          <w:b/>
          <w:bCs/>
          <w:sz w:val="28"/>
          <w:szCs w:val="28"/>
          <w:lang w:val="en-US" w:eastAsia="zh-CN"/>
        </w:rPr>
      </w:pPr>
    </w:p>
    <w:p w14:paraId="1A165687">
      <w:pPr>
        <w:pStyle w:val="3"/>
        <w:rPr>
          <w:rFonts w:hint="eastAsia" w:ascii="宋体" w:hAnsi="宋体" w:eastAsia="宋体" w:cs="宋体"/>
          <w:b/>
          <w:bCs/>
          <w:sz w:val="28"/>
          <w:szCs w:val="28"/>
          <w:lang w:val="en-US" w:eastAsia="zh-CN"/>
        </w:rPr>
      </w:pPr>
    </w:p>
    <w:p w14:paraId="53F799FF">
      <w:pPr>
        <w:pStyle w:val="4"/>
        <w:rPr>
          <w:rFonts w:hint="eastAsia" w:ascii="宋体" w:hAnsi="宋体" w:eastAsia="宋体" w:cs="宋体"/>
          <w:b/>
          <w:bCs/>
          <w:sz w:val="28"/>
          <w:szCs w:val="28"/>
          <w:lang w:val="en-US" w:eastAsia="zh-CN"/>
        </w:rPr>
      </w:pPr>
    </w:p>
    <w:p w14:paraId="2D69BD6D">
      <w:pPr>
        <w:rPr>
          <w:rFonts w:hint="eastAsia" w:ascii="宋体" w:hAnsi="宋体" w:eastAsia="宋体" w:cs="宋体"/>
          <w:b/>
          <w:bCs/>
          <w:sz w:val="28"/>
          <w:szCs w:val="28"/>
          <w:lang w:val="en-US" w:eastAsia="zh-CN"/>
        </w:rPr>
      </w:pPr>
    </w:p>
    <w:p w14:paraId="06CFD5E7">
      <w:pPr>
        <w:pStyle w:val="3"/>
        <w:rPr>
          <w:rFonts w:hint="eastAsia" w:ascii="宋体" w:hAnsi="宋体" w:eastAsia="宋体" w:cs="宋体"/>
          <w:b/>
          <w:bCs/>
          <w:sz w:val="28"/>
          <w:szCs w:val="28"/>
          <w:lang w:val="en-US" w:eastAsia="zh-CN"/>
        </w:rPr>
      </w:pPr>
    </w:p>
    <w:p w14:paraId="2D831F24">
      <w:pPr>
        <w:pStyle w:val="4"/>
        <w:rPr>
          <w:rFonts w:hint="eastAsia"/>
          <w:lang w:val="en-US" w:eastAsia="zh-CN"/>
        </w:rPr>
      </w:pPr>
    </w:p>
    <w:p w14:paraId="19CAB6BC">
      <w:pPr>
        <w:widowControl w:val="0"/>
        <w:numPr>
          <w:ilvl w:val="0"/>
          <w:numId w:val="0"/>
        </w:numPr>
        <w:jc w:val="both"/>
        <w:rPr>
          <w:rFonts w:hint="eastAsia" w:ascii="宋体" w:hAnsi="宋体" w:eastAsia="宋体" w:cs="宋体"/>
          <w:b/>
          <w:bCs/>
          <w:sz w:val="28"/>
          <w:szCs w:val="28"/>
          <w:lang w:val="en-US" w:eastAsia="zh-CN"/>
        </w:rPr>
      </w:pPr>
    </w:p>
    <w:p w14:paraId="5C1B1B18">
      <w:pPr>
        <w:pStyle w:val="3"/>
        <w:rPr>
          <w:rFonts w:hint="eastAsia"/>
          <w:lang w:val="en-US" w:eastAsia="zh-CN"/>
        </w:rPr>
      </w:pPr>
    </w:p>
    <w:p w14:paraId="23325B5D">
      <w:pPr>
        <w:widowControl w:val="0"/>
        <w:numPr>
          <w:ilvl w:val="0"/>
          <w:numId w:val="0"/>
        </w:numPr>
        <w:jc w:val="both"/>
        <w:rPr>
          <w:rFonts w:hint="eastAsia" w:ascii="宋体" w:hAnsi="宋体" w:eastAsia="宋体" w:cs="宋体"/>
          <w:b/>
          <w:bCs/>
          <w:sz w:val="28"/>
          <w:szCs w:val="28"/>
          <w:lang w:val="en-US" w:eastAsia="zh-CN"/>
        </w:rPr>
      </w:pPr>
    </w:p>
    <w:p w14:paraId="76B6C0B5">
      <w:pPr>
        <w:numPr>
          <w:ilvl w:val="0"/>
          <w:numId w:val="0"/>
        </w:numPr>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t>十二、采购需求、服务求响应承诺函</w:t>
      </w:r>
    </w:p>
    <w:p w14:paraId="2326ED9E">
      <w:pPr>
        <w:pStyle w:val="3"/>
        <w:widowControl w:val="0"/>
        <w:numPr>
          <w:ilvl w:val="0"/>
          <w:numId w:val="0"/>
        </w:numPr>
        <w:jc w:val="center"/>
        <w:rPr>
          <w:rFonts w:hint="eastAsia" w:ascii="宋体" w:hAnsi="宋体" w:eastAsia="宋体" w:cs="宋体"/>
          <w:sz w:val="28"/>
          <w:szCs w:val="18"/>
          <w:lang w:val="en-US" w:eastAsia="zh-CN"/>
        </w:rPr>
      </w:pPr>
      <w:r>
        <w:rPr>
          <w:rFonts w:hint="eastAsia" w:ascii="宋体" w:hAnsi="宋体" w:eastAsia="宋体" w:cs="宋体"/>
          <w:sz w:val="28"/>
          <w:szCs w:val="18"/>
          <w:lang w:val="en-US" w:eastAsia="zh-CN"/>
        </w:rPr>
        <w:t>格式自拟</w:t>
      </w:r>
    </w:p>
    <w:p w14:paraId="7797AAEA">
      <w:pPr>
        <w:pStyle w:val="4"/>
        <w:rPr>
          <w:rFonts w:hint="eastAsia"/>
          <w:lang w:val="en-US" w:eastAsia="zh-CN"/>
        </w:rPr>
      </w:pPr>
    </w:p>
    <w:p w14:paraId="09B00F06">
      <w:pPr>
        <w:rPr>
          <w:rFonts w:hint="eastAsia"/>
          <w:lang w:val="en-US" w:eastAsia="zh-CN"/>
        </w:rPr>
      </w:pPr>
    </w:p>
    <w:p w14:paraId="55A61A25">
      <w:pPr>
        <w:pStyle w:val="3"/>
        <w:rPr>
          <w:rFonts w:hint="eastAsia"/>
          <w:lang w:val="en-US" w:eastAsia="zh-CN"/>
        </w:rPr>
      </w:pPr>
    </w:p>
    <w:p w14:paraId="4D2491F7">
      <w:pPr>
        <w:pStyle w:val="4"/>
        <w:rPr>
          <w:rFonts w:hint="eastAsia"/>
          <w:lang w:val="en-US" w:eastAsia="zh-CN"/>
        </w:rPr>
      </w:pPr>
    </w:p>
    <w:p w14:paraId="402D8E2B">
      <w:pPr>
        <w:rPr>
          <w:rFonts w:hint="eastAsia"/>
          <w:lang w:val="en-US" w:eastAsia="zh-CN"/>
        </w:rPr>
      </w:pPr>
    </w:p>
    <w:p w14:paraId="5C9A79D6">
      <w:pPr>
        <w:pStyle w:val="3"/>
        <w:rPr>
          <w:rFonts w:hint="eastAsia"/>
          <w:lang w:val="en-US" w:eastAsia="zh-CN"/>
        </w:rPr>
      </w:pPr>
    </w:p>
    <w:p w14:paraId="061AAF57">
      <w:pPr>
        <w:pStyle w:val="4"/>
        <w:rPr>
          <w:rFonts w:hint="eastAsia"/>
          <w:lang w:val="en-US" w:eastAsia="zh-CN"/>
        </w:rPr>
      </w:pPr>
    </w:p>
    <w:p w14:paraId="26783CD0">
      <w:pPr>
        <w:rPr>
          <w:rFonts w:hint="eastAsia"/>
          <w:lang w:val="en-US" w:eastAsia="zh-CN"/>
        </w:rPr>
      </w:pPr>
    </w:p>
    <w:p w14:paraId="3E1FFCC9">
      <w:pPr>
        <w:pStyle w:val="3"/>
        <w:rPr>
          <w:rFonts w:hint="eastAsia"/>
          <w:lang w:val="en-US" w:eastAsia="zh-CN"/>
        </w:rPr>
      </w:pPr>
    </w:p>
    <w:p w14:paraId="74FD7B72">
      <w:pPr>
        <w:pStyle w:val="4"/>
        <w:rPr>
          <w:rFonts w:hint="eastAsia"/>
          <w:lang w:val="en-US" w:eastAsia="zh-CN"/>
        </w:rPr>
      </w:pPr>
    </w:p>
    <w:p w14:paraId="371C4D27">
      <w:pPr>
        <w:rPr>
          <w:rFonts w:hint="eastAsia"/>
          <w:lang w:val="en-US" w:eastAsia="zh-CN"/>
        </w:rPr>
      </w:pPr>
    </w:p>
    <w:p w14:paraId="7F27E1FF">
      <w:pPr>
        <w:pStyle w:val="3"/>
        <w:rPr>
          <w:rFonts w:hint="eastAsia"/>
          <w:lang w:val="en-US" w:eastAsia="zh-CN"/>
        </w:rPr>
      </w:pPr>
    </w:p>
    <w:p w14:paraId="090A2E7B">
      <w:pPr>
        <w:pStyle w:val="4"/>
        <w:rPr>
          <w:rFonts w:hint="eastAsia"/>
          <w:lang w:val="en-US" w:eastAsia="zh-CN"/>
        </w:rPr>
      </w:pPr>
    </w:p>
    <w:p w14:paraId="3D414585">
      <w:pPr>
        <w:rPr>
          <w:rFonts w:hint="eastAsia"/>
          <w:lang w:val="en-US" w:eastAsia="zh-CN"/>
        </w:rPr>
      </w:pPr>
    </w:p>
    <w:p w14:paraId="597DF750">
      <w:pPr>
        <w:pStyle w:val="3"/>
        <w:rPr>
          <w:rFonts w:hint="eastAsia"/>
          <w:lang w:val="en-US" w:eastAsia="zh-CN"/>
        </w:rPr>
      </w:pPr>
    </w:p>
    <w:p w14:paraId="7C2917F9">
      <w:pPr>
        <w:pStyle w:val="4"/>
        <w:rPr>
          <w:rFonts w:hint="eastAsia"/>
          <w:lang w:val="en-US" w:eastAsia="zh-CN"/>
        </w:rPr>
      </w:pPr>
    </w:p>
    <w:p w14:paraId="2600B0A8">
      <w:pPr>
        <w:rPr>
          <w:rFonts w:hint="eastAsia"/>
          <w:lang w:val="en-US" w:eastAsia="zh-CN"/>
        </w:rPr>
      </w:pPr>
    </w:p>
    <w:p w14:paraId="6FE5A2C1">
      <w:pPr>
        <w:pStyle w:val="3"/>
        <w:rPr>
          <w:rFonts w:hint="eastAsia"/>
          <w:lang w:val="en-US" w:eastAsia="zh-CN"/>
        </w:rPr>
      </w:pPr>
    </w:p>
    <w:p w14:paraId="0E53D49A">
      <w:pPr>
        <w:pStyle w:val="4"/>
        <w:rPr>
          <w:rFonts w:hint="eastAsia"/>
          <w:lang w:val="en-US" w:eastAsia="zh-CN"/>
        </w:rPr>
      </w:pPr>
    </w:p>
    <w:p w14:paraId="1C1270EB">
      <w:pPr>
        <w:rPr>
          <w:rFonts w:hint="eastAsia"/>
          <w:lang w:val="en-US" w:eastAsia="zh-CN"/>
        </w:rPr>
      </w:pPr>
    </w:p>
    <w:p w14:paraId="122BEB0A">
      <w:pPr>
        <w:pStyle w:val="3"/>
        <w:rPr>
          <w:rFonts w:hint="eastAsia"/>
          <w:lang w:val="en-US" w:eastAsia="zh-CN"/>
        </w:rPr>
      </w:pPr>
    </w:p>
    <w:p w14:paraId="38235046">
      <w:pPr>
        <w:pStyle w:val="4"/>
        <w:rPr>
          <w:rFonts w:hint="eastAsia"/>
          <w:lang w:val="en-US" w:eastAsia="zh-CN"/>
        </w:rPr>
      </w:pPr>
    </w:p>
    <w:p w14:paraId="4A51A6C1">
      <w:pPr>
        <w:rPr>
          <w:rFonts w:hint="eastAsia"/>
          <w:lang w:val="en-US" w:eastAsia="zh-CN"/>
        </w:rPr>
      </w:pPr>
    </w:p>
    <w:p w14:paraId="49B30719">
      <w:pPr>
        <w:numPr>
          <w:ilvl w:val="0"/>
          <w:numId w:val="0"/>
        </w:numPr>
        <w:jc w:val="center"/>
        <w:rPr>
          <w:rFonts w:hint="eastAsia" w:ascii="宋体" w:hAnsi="宋体" w:eastAsia="宋体" w:cs="宋体"/>
          <w:color w:val="auto"/>
          <w:kern w:val="0"/>
          <w:sz w:val="32"/>
          <w:szCs w:val="32"/>
          <w:highlight w:val="none"/>
          <w:lang w:val="en-US" w:eastAsia="zh-CN" w:bidi="ar"/>
        </w:rPr>
      </w:pPr>
      <w:r>
        <w:rPr>
          <w:rFonts w:hint="eastAsia" w:ascii="宋体" w:hAnsi="宋体" w:eastAsia="宋体" w:cs="宋体"/>
          <w:color w:val="auto"/>
          <w:kern w:val="0"/>
          <w:sz w:val="32"/>
          <w:szCs w:val="32"/>
          <w:highlight w:val="none"/>
          <w:lang w:val="en-US" w:eastAsia="zh-CN" w:bidi="ar"/>
        </w:rPr>
        <w:t>十三、参选人认为需要的其他证明材料</w:t>
      </w:r>
    </w:p>
    <w:p w14:paraId="17583B67">
      <w:pPr>
        <w:widowControl/>
        <w:spacing w:line="360" w:lineRule="auto"/>
        <w:jc w:val="center"/>
        <w:rPr>
          <w:rFonts w:hint="eastAsia" w:ascii="仿宋" w:hAnsi="仿宋" w:eastAsia="仿宋" w:cs="仿宋"/>
          <w:b/>
          <w:color w:val="auto"/>
          <w:sz w:val="32"/>
          <w:szCs w:val="32"/>
          <w:highlight w:val="none"/>
        </w:rPr>
      </w:pPr>
    </w:p>
    <w:p w14:paraId="2376F730">
      <w:pPr>
        <w:rPr>
          <w:rFonts w:hint="eastAsia" w:ascii="宋体" w:hAnsi="宋体" w:eastAsia="宋体" w:cs="宋体"/>
        </w:rPr>
      </w:pPr>
      <w:r>
        <w:rPr>
          <w:rFonts w:hint="eastAsia" w:ascii="宋体" w:hAnsi="宋体" w:eastAsia="宋体" w:cs="宋体"/>
          <w:sz w:val="28"/>
          <w:szCs w:val="18"/>
          <w:lang w:val="en-US" w:eastAsia="zh-CN"/>
        </w:rPr>
        <w:t>格式自拟</w:t>
      </w:r>
    </w:p>
    <w:sectPr>
      <w:pgSz w:w="11906" w:h="16838"/>
      <w:pgMar w:top="1440" w:right="726" w:bottom="1440" w:left="782"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658C02"/>
    <w:multiLevelType w:val="singleLevel"/>
    <w:tmpl w:val="20658C02"/>
    <w:lvl w:ilvl="0" w:tentative="0">
      <w:start w:val="1"/>
      <w:numFmt w:val="chineseCounting"/>
      <w:suff w:val="nothing"/>
      <w:lvlText w:val="%1、"/>
      <w:lvlJc w:val="left"/>
      <w:rPr>
        <w:rFonts w:hint="eastAsia"/>
      </w:rPr>
    </w:lvl>
  </w:abstractNum>
  <w:abstractNum w:abstractNumId="1">
    <w:nsid w:val="55642483"/>
    <w:multiLevelType w:val="multilevel"/>
    <w:tmpl w:val="55642483"/>
    <w:lvl w:ilvl="0" w:tentative="0">
      <w:start w:val="1"/>
      <w:numFmt w:val="decimal"/>
      <w:lvlText w:val="%1"/>
      <w:lvlJc w:val="center"/>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06F32"/>
    <w:rsid w:val="08386A4E"/>
    <w:rsid w:val="235F67B6"/>
    <w:rsid w:val="413D1EFB"/>
    <w:rsid w:val="5B4B10AF"/>
    <w:rsid w:val="63AB687C"/>
    <w:rsid w:val="63E05E7A"/>
    <w:rsid w:val="692349D0"/>
    <w:rsid w:val="69606F32"/>
    <w:rsid w:val="6E7F2DDF"/>
    <w:rsid w:val="74085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widowControl/>
      <w:spacing w:before="340" w:after="330" w:line="576" w:lineRule="auto"/>
      <w:jc w:val="left"/>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header"/>
    <w:basedOn w:val="1"/>
    <w:next w:val="3"/>
    <w:qFormat/>
    <w:uiPriority w:val="0"/>
    <w:pPr>
      <w:pBdr>
        <w:bottom w:val="single" w:color="auto" w:sz="6" w:space="1"/>
      </w:pBdr>
      <w:tabs>
        <w:tab w:val="left" w:pos="0"/>
      </w:tabs>
      <w:wordWrap w:val="0"/>
      <w:topLinePunct/>
      <w:spacing w:line="240" w:lineRule="auto"/>
      <w:jc w:val="center"/>
    </w:pPr>
    <w:rPr>
      <w:sz w:val="18"/>
      <w:szCs w:val="18"/>
    </w:rPr>
  </w:style>
  <w:style w:type="paragraph" w:styleId="3">
    <w:name w:val="Body Text"/>
    <w:basedOn w:val="1"/>
    <w:next w:val="4"/>
    <w:qFormat/>
    <w:uiPriority w:val="0"/>
    <w:rPr>
      <w:rFonts w:eastAsia="黑体"/>
      <w:sz w:val="44"/>
    </w:rPr>
  </w:style>
  <w:style w:type="paragraph" w:styleId="4">
    <w:name w:val="Quote"/>
    <w:basedOn w:val="1"/>
    <w:next w:val="1"/>
    <w:qFormat/>
    <w:uiPriority w:val="0"/>
    <w:pPr>
      <w:tabs>
        <w:tab w:val="left" w:pos="0"/>
      </w:tabs>
      <w:wordWrap w:val="0"/>
      <w:spacing w:before="200" w:after="160" w:line="240" w:lineRule="auto"/>
      <w:ind w:left="864" w:right="864"/>
      <w:jc w:val="center"/>
    </w:pPr>
    <w:rPr>
      <w:rFonts w:ascii="Times New Roman" w:hAnsi="Times New Roman" w:eastAsia="宋体" w:cs="Times New Roman"/>
      <w:i/>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unhideWhenUsed/>
    <w:qFormat/>
    <w:uiPriority w:val="99"/>
    <w:pPr>
      <w:tabs>
        <w:tab w:val="left" w:pos="0"/>
      </w:tabs>
      <w:ind w:firstLine="420" w:firstLineChars="100"/>
    </w:pPr>
  </w:style>
  <w:style w:type="paragraph" w:customStyle="1" w:styleId="11">
    <w:name w:val="12、表格内左对齐正文"/>
    <w:basedOn w:val="1"/>
    <w:autoRedefine/>
    <w:qFormat/>
    <w:uiPriority w:val="0"/>
    <w:pPr>
      <w:tabs>
        <w:tab w:val="left" w:pos="0"/>
      </w:tabs>
      <w:wordWrap w:val="0"/>
      <w:topLinePunct/>
      <w:spacing w:line="360" w:lineRule="exact"/>
      <w:ind w:left="48" w:leftChars="20"/>
    </w:pPr>
    <w:rPr>
      <w:snapToGrid w:val="0"/>
      <w:sz w:val="21"/>
    </w:rPr>
  </w:style>
  <w:style w:type="paragraph" w:customStyle="1" w:styleId="12">
    <w:name w:val="13、表格内居中正文"/>
    <w:basedOn w:val="1"/>
    <w:autoRedefine/>
    <w:qFormat/>
    <w:uiPriority w:val="0"/>
    <w:pPr>
      <w:wordWrap w:val="0"/>
      <w:topLinePunct/>
      <w:adjustRightInd w:val="0"/>
      <w:snapToGrid w:val="0"/>
      <w:spacing w:line="360" w:lineRule="exact"/>
      <w:jc w:val="center"/>
    </w:pPr>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3129</Words>
  <Characters>3300</Characters>
  <Lines>0</Lines>
  <Paragraphs>0</Paragraphs>
  <TotalTime>1</TotalTime>
  <ScaleCrop>false</ScaleCrop>
  <LinksUpToDate>false</LinksUpToDate>
  <CharactersWithSpaces>3306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2026-03-31T07:31:00Z</dcterms:created>
  <dc:creator>小鱼</dc:creator>
  <cp:lastModifiedBy>小鱼</cp:lastModifiedBy>
  <dcterms:modified xsi:type="dcterms:W3CDTF">2026-04-01T07:49:44Z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2D0EAA8A5F694D678B2D3CE7AA453B01_11</vt:lpwstr>
  </property>
  <property fmtid="{D5CDD505-2E9C-101B-9397-08002B2CF9AE}" pid="4" name="KSOTemplateDocerSaveRecord">
    <vt:lpwstr>eyJoZGlkIjoiZjQyMjZjMGJjNDVkYTg1NmNlMzgxODBlMDU5MjczZDYiLCJ1c2VySWQiOiIyNzM1MDExNDQifQ==</vt:lpwstr>
  </property>
</Properties>
</file>